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14A15E39" wp14:editId="0DA877F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52439D" w:rsidRPr="0052439D" w:rsidRDefault="0052439D" w:rsidP="0052439D">
      <w:pPr>
        <w:widowControl/>
        <w:rPr>
          <w:b/>
          <w:sz w:val="28"/>
          <w:szCs w:val="28"/>
          <w:lang w:bidi="ar-SA"/>
        </w:rPr>
      </w:pPr>
      <w:r w:rsidRPr="0052439D">
        <w:rPr>
          <w:b/>
          <w:sz w:val="28"/>
          <w:szCs w:val="28"/>
          <w:lang w:bidi="ar-SA"/>
        </w:rPr>
        <w:t>24 March 2015</w:t>
      </w:r>
    </w:p>
    <w:p w:rsidR="0052439D" w:rsidRPr="0052439D" w:rsidRDefault="0052439D" w:rsidP="0052439D">
      <w:pPr>
        <w:widowControl/>
        <w:rPr>
          <w:b/>
          <w:sz w:val="28"/>
          <w:szCs w:val="28"/>
          <w:lang w:bidi="ar-SA"/>
        </w:rPr>
      </w:pPr>
      <w:r w:rsidRPr="0052439D">
        <w:rPr>
          <w:b/>
          <w:sz w:val="28"/>
          <w:szCs w:val="28"/>
          <w:lang w:bidi="ar-SA"/>
        </w:rPr>
        <w:t>[04–15]</w:t>
      </w:r>
    </w:p>
    <w:p w:rsidR="00BA24E2" w:rsidRDefault="00BA24E2" w:rsidP="00E203C2"/>
    <w:p w:rsidR="00D056F1" w:rsidRPr="008C4A37"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5F534F">
        <w:rPr>
          <w:b/>
        </w:rPr>
        <w:t>submissions</w:t>
      </w:r>
      <w:r w:rsidRPr="005F534F">
        <w:rPr>
          <w:b/>
        </w:rPr>
        <w:t xml:space="preserve"> – </w:t>
      </w:r>
      <w:r w:rsidR="00BF2A53">
        <w:rPr>
          <w:b/>
        </w:rPr>
        <w:t xml:space="preserve">Application </w:t>
      </w:r>
      <w:r w:rsidR="008C4A37" w:rsidRPr="005F534F">
        <w:rPr>
          <w:b/>
        </w:rPr>
        <w:t>A1101</w:t>
      </w:r>
    </w:p>
    <w:p w:rsidR="00E203C2" w:rsidRPr="00E203C2" w:rsidRDefault="00E203C2" w:rsidP="00E203C2"/>
    <w:p w:rsidR="00E203C2" w:rsidRPr="008C4A37" w:rsidRDefault="008C4A37" w:rsidP="00E203C2">
      <w:pPr>
        <w:pBdr>
          <w:bottom w:val="single" w:sz="12" w:space="1" w:color="auto"/>
        </w:pBdr>
        <w:spacing w:line="280" w:lineRule="exact"/>
        <w:rPr>
          <w:rFonts w:cs="Tahoma"/>
          <w:bCs/>
          <w:sz w:val="32"/>
        </w:rPr>
      </w:pPr>
      <w:r w:rsidRPr="008C4A37">
        <w:rPr>
          <w:rFonts w:cs="Tahoma"/>
          <w:bCs/>
          <w:sz w:val="32"/>
        </w:rPr>
        <w:t>Commencement of Dietary Fibre Claim Provisions</w:t>
      </w:r>
    </w:p>
    <w:p w:rsidR="008C4A37" w:rsidRPr="00E81F6E" w:rsidRDefault="008C4A37" w:rsidP="00E203C2">
      <w:pPr>
        <w:pBdr>
          <w:bottom w:val="single" w:sz="12" w:space="1" w:color="auto"/>
        </w:pBdr>
        <w:spacing w:line="280" w:lineRule="exact"/>
        <w:rPr>
          <w:rFonts w:cs="Arial"/>
          <w:bCs/>
        </w:rPr>
      </w:pPr>
    </w:p>
    <w:p w:rsidR="00E203C2" w:rsidRPr="00E81F6E" w:rsidRDefault="00E203C2" w:rsidP="00E203C2"/>
    <w:p w:rsidR="00E063C6" w:rsidRPr="008C4A37" w:rsidRDefault="00E063C6" w:rsidP="00E203C2">
      <w:pPr>
        <w:rPr>
          <w:sz w:val="20"/>
          <w:szCs w:val="20"/>
        </w:rPr>
      </w:pPr>
      <w:r w:rsidRPr="008C4A37">
        <w:rPr>
          <w:sz w:val="20"/>
          <w:szCs w:val="20"/>
        </w:rPr>
        <w:t xml:space="preserve">FSANZ </w:t>
      </w:r>
      <w:r w:rsidR="00D81D38" w:rsidRPr="008C4A37">
        <w:rPr>
          <w:sz w:val="20"/>
          <w:szCs w:val="20"/>
        </w:rPr>
        <w:t>has assessed an A</w:t>
      </w:r>
      <w:r w:rsidR="00351B07" w:rsidRPr="008C4A37">
        <w:rPr>
          <w:sz w:val="20"/>
          <w:szCs w:val="20"/>
        </w:rPr>
        <w:t xml:space="preserve">pplication made by </w:t>
      </w:r>
      <w:r w:rsidR="008C4A37">
        <w:rPr>
          <w:sz w:val="20"/>
          <w:szCs w:val="20"/>
        </w:rPr>
        <w:t>the Australian Food and Grocery</w:t>
      </w:r>
      <w:r w:rsidR="00D40221">
        <w:rPr>
          <w:sz w:val="20"/>
          <w:szCs w:val="20"/>
        </w:rPr>
        <w:t xml:space="preserve"> Council</w:t>
      </w:r>
      <w:r w:rsidR="008C4A37">
        <w:rPr>
          <w:sz w:val="20"/>
          <w:szCs w:val="20"/>
        </w:rPr>
        <w:t xml:space="preserve"> </w:t>
      </w:r>
      <w:r w:rsidR="007C174F" w:rsidRPr="008C4A37">
        <w:rPr>
          <w:sz w:val="20"/>
          <w:szCs w:val="20"/>
        </w:rPr>
        <w:t>to</w:t>
      </w:r>
      <w:r w:rsidR="00401DBD" w:rsidRPr="00401DBD">
        <w:rPr>
          <w:sz w:val="20"/>
          <w:szCs w:val="20"/>
        </w:rPr>
        <w:t xml:space="preserve"> delay the</w:t>
      </w:r>
      <w:r w:rsidR="004C2E00">
        <w:rPr>
          <w:sz w:val="20"/>
          <w:szCs w:val="20"/>
        </w:rPr>
        <w:t xml:space="preserve"> requirement to comply with </w:t>
      </w:r>
      <w:r w:rsidR="00D22328">
        <w:rPr>
          <w:sz w:val="20"/>
          <w:szCs w:val="20"/>
        </w:rPr>
        <w:t>the qualifying criteria</w:t>
      </w:r>
      <w:r w:rsidR="001B2DB1">
        <w:rPr>
          <w:sz w:val="20"/>
          <w:szCs w:val="20"/>
        </w:rPr>
        <w:t xml:space="preserve"> for nutrition content claims about dietary fibre</w:t>
      </w:r>
      <w:r w:rsidR="00401DBD" w:rsidRPr="00401DBD">
        <w:rPr>
          <w:sz w:val="20"/>
          <w:szCs w:val="20"/>
        </w:rPr>
        <w:t xml:space="preserve"> in Standard 1.2.7 – Nutrition, Health and Related Claims </w:t>
      </w:r>
      <w:r w:rsidR="001B2DB1">
        <w:rPr>
          <w:sz w:val="20"/>
          <w:szCs w:val="20"/>
        </w:rPr>
        <w:t xml:space="preserve">for 12 months, </w:t>
      </w:r>
      <w:r w:rsidR="00401DBD" w:rsidRPr="00401DBD">
        <w:rPr>
          <w:sz w:val="20"/>
          <w:szCs w:val="20"/>
        </w:rPr>
        <w:t xml:space="preserve">from </w:t>
      </w:r>
      <w:r w:rsidR="00D51F28">
        <w:rPr>
          <w:sz w:val="20"/>
          <w:szCs w:val="20"/>
        </w:rPr>
        <w:t xml:space="preserve">and including </w:t>
      </w:r>
      <w:r w:rsidR="00401DBD" w:rsidRPr="00401DBD">
        <w:rPr>
          <w:sz w:val="20"/>
          <w:szCs w:val="20"/>
        </w:rPr>
        <w:t xml:space="preserve">18 January 2016 </w:t>
      </w:r>
      <w:r w:rsidR="00BE3FA6">
        <w:rPr>
          <w:sz w:val="20"/>
          <w:szCs w:val="20"/>
        </w:rPr>
        <w:t>until and including</w:t>
      </w:r>
      <w:r w:rsidR="004C2E00">
        <w:rPr>
          <w:sz w:val="20"/>
          <w:szCs w:val="20"/>
        </w:rPr>
        <w:t>,</w:t>
      </w:r>
      <w:r w:rsidR="00BE3FA6">
        <w:rPr>
          <w:sz w:val="20"/>
          <w:szCs w:val="20"/>
        </w:rPr>
        <w:t xml:space="preserve"> 17</w:t>
      </w:r>
      <w:r w:rsidR="00D40221">
        <w:rPr>
          <w:sz w:val="20"/>
          <w:szCs w:val="20"/>
        </w:rPr>
        <w:t xml:space="preserve"> January 2017</w:t>
      </w:r>
      <w:r w:rsidR="00357B75">
        <w:rPr>
          <w:sz w:val="20"/>
          <w:szCs w:val="20"/>
        </w:rPr>
        <w:t xml:space="preserve">. Following </w:t>
      </w:r>
      <w:r w:rsidR="004C2E00">
        <w:rPr>
          <w:sz w:val="20"/>
          <w:szCs w:val="20"/>
        </w:rPr>
        <w:t xml:space="preserve">the </w:t>
      </w:r>
      <w:r w:rsidR="00357B75">
        <w:rPr>
          <w:sz w:val="20"/>
          <w:szCs w:val="20"/>
        </w:rPr>
        <w:t>assessment, FSAN</w:t>
      </w:r>
      <w:r w:rsidR="004C2E00">
        <w:rPr>
          <w:sz w:val="20"/>
          <w:szCs w:val="20"/>
        </w:rPr>
        <w:t xml:space="preserve">Z </w:t>
      </w:r>
      <w:r w:rsidR="00413CA8" w:rsidRPr="008C4A37">
        <w:rPr>
          <w:sz w:val="20"/>
          <w:szCs w:val="20"/>
        </w:rPr>
        <w:t>has prepared</w:t>
      </w:r>
      <w:r w:rsidR="00B253B2">
        <w:rPr>
          <w:sz w:val="20"/>
          <w:szCs w:val="20"/>
        </w:rPr>
        <w:t xml:space="preserve"> two draft food regulatory measures -</w:t>
      </w:r>
      <w:r w:rsidR="00413CA8" w:rsidRPr="008C4A37">
        <w:rPr>
          <w:sz w:val="20"/>
          <w:szCs w:val="20"/>
        </w:rPr>
        <w:t xml:space="preserve"> </w:t>
      </w:r>
      <w:r w:rsidR="00B253B2">
        <w:rPr>
          <w:sz w:val="20"/>
          <w:szCs w:val="20"/>
        </w:rPr>
        <w:t>a</w:t>
      </w:r>
      <w:r w:rsidR="003332DF" w:rsidRPr="008C4A37">
        <w:rPr>
          <w:sz w:val="20"/>
          <w:szCs w:val="20"/>
        </w:rPr>
        <w:t xml:space="preserve"> </w:t>
      </w:r>
      <w:r w:rsidR="00B253B2">
        <w:rPr>
          <w:sz w:val="20"/>
          <w:szCs w:val="20"/>
        </w:rPr>
        <w:t xml:space="preserve">new </w:t>
      </w:r>
      <w:r w:rsidR="00413CA8" w:rsidRPr="008C4A37">
        <w:rPr>
          <w:sz w:val="20"/>
          <w:szCs w:val="20"/>
        </w:rPr>
        <w:t xml:space="preserve">draft </w:t>
      </w:r>
      <w:r w:rsidR="00B253B2">
        <w:rPr>
          <w:sz w:val="20"/>
          <w:szCs w:val="20"/>
        </w:rPr>
        <w:t xml:space="preserve">Standard and a </w:t>
      </w:r>
      <w:r w:rsidR="00EB693B">
        <w:rPr>
          <w:sz w:val="20"/>
          <w:szCs w:val="20"/>
        </w:rPr>
        <w:t xml:space="preserve">draft </w:t>
      </w:r>
      <w:r w:rsidR="00B253B2">
        <w:rPr>
          <w:sz w:val="20"/>
          <w:szCs w:val="20"/>
        </w:rPr>
        <w:t>consequential variation to Standard 1.2.7</w:t>
      </w:r>
      <w:r w:rsidR="00351B07" w:rsidRPr="008C4A37">
        <w:rPr>
          <w:sz w:val="20"/>
          <w:szCs w:val="20"/>
        </w:rPr>
        <w:t xml:space="preserve">. </w:t>
      </w:r>
      <w:r w:rsidR="00D22F3C" w:rsidRPr="008C4A37">
        <w:rPr>
          <w:sz w:val="20"/>
          <w:szCs w:val="20"/>
        </w:rPr>
        <w:t xml:space="preserve">Pursuant to section 31 of the </w:t>
      </w:r>
      <w:r w:rsidR="00D22F3C" w:rsidRPr="008C4A37">
        <w:rPr>
          <w:i/>
          <w:sz w:val="20"/>
          <w:szCs w:val="20"/>
        </w:rPr>
        <w:t>Food Standard</w:t>
      </w:r>
      <w:r w:rsidR="00E203C2" w:rsidRPr="008C4A37">
        <w:rPr>
          <w:i/>
          <w:sz w:val="20"/>
          <w:szCs w:val="20"/>
        </w:rPr>
        <w:t>s Australia New Zealand Act 1991</w:t>
      </w:r>
      <w:r w:rsidR="00D22F3C" w:rsidRPr="008C4A37">
        <w:rPr>
          <w:i/>
          <w:sz w:val="20"/>
          <w:szCs w:val="20"/>
        </w:rPr>
        <w:t xml:space="preserve"> </w:t>
      </w:r>
      <w:r w:rsidR="00E203C2" w:rsidRPr="008C4A37">
        <w:rPr>
          <w:sz w:val="20"/>
          <w:szCs w:val="20"/>
        </w:rPr>
        <w:t>(</w:t>
      </w:r>
      <w:r w:rsidR="00D22F3C" w:rsidRPr="008C4A37">
        <w:rPr>
          <w:sz w:val="20"/>
          <w:szCs w:val="20"/>
        </w:rPr>
        <w:t>FSANZ Act), FSANZ now c</w:t>
      </w:r>
      <w:r w:rsidR="00E203C2" w:rsidRPr="008C4A37">
        <w:rPr>
          <w:sz w:val="20"/>
          <w:szCs w:val="20"/>
        </w:rPr>
        <w:t xml:space="preserve">alls for submissions to assist consideration of the </w:t>
      </w:r>
      <w:r w:rsidR="00413CA8" w:rsidRPr="008C4A37">
        <w:rPr>
          <w:sz w:val="20"/>
          <w:szCs w:val="20"/>
        </w:rPr>
        <w:t xml:space="preserve">draft </w:t>
      </w:r>
      <w:r w:rsidR="00D8470F" w:rsidRPr="008C4A37">
        <w:rPr>
          <w:sz w:val="20"/>
          <w:szCs w:val="20"/>
        </w:rPr>
        <w:t>food regulatory measure</w:t>
      </w:r>
      <w:r w:rsidR="00EB693B">
        <w:rPr>
          <w:sz w:val="20"/>
          <w:szCs w:val="20"/>
        </w:rPr>
        <w:t>s</w:t>
      </w:r>
      <w:r w:rsidR="00D22F3C" w:rsidRPr="008C4A37">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sidR="00C15FA1">
        <w:rPr>
          <w:color w:val="000000"/>
          <w:sz w:val="20"/>
          <w:szCs w:val="20"/>
          <w:lang w:val="en-AU"/>
        </w:rPr>
        <w:t xml:space="preserve">certain </w:t>
      </w:r>
      <w:r>
        <w:rPr>
          <w:color w:val="000000"/>
          <w:sz w:val="20"/>
          <w:szCs w:val="20"/>
          <w:lang w:val="en-AU"/>
        </w:rPr>
        <w:t>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52439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52439D">
        <w:rPr>
          <w:rFonts w:cs="Arial"/>
          <w:b/>
          <w:bCs/>
          <w:sz w:val="24"/>
        </w:rPr>
        <w:t xml:space="preserve"> </w:t>
      </w:r>
      <w:r w:rsidR="0052439D" w:rsidRPr="0052439D">
        <w:rPr>
          <w:rFonts w:cs="Arial"/>
          <w:b/>
          <w:bCs/>
          <w:sz w:val="24"/>
        </w:rPr>
        <w:t>5 May</w:t>
      </w:r>
      <w:r w:rsidRPr="0052439D">
        <w:rPr>
          <w:rFonts w:cs="Arial"/>
          <w:b/>
          <w:bCs/>
          <w:sz w:val="24"/>
        </w:rPr>
        <w:t xml:space="preserve"> </w:t>
      </w:r>
      <w:r w:rsidR="008C4A37" w:rsidRPr="0052439D">
        <w:rPr>
          <w:rFonts w:cs="Arial"/>
          <w:b/>
          <w:bCs/>
          <w:sz w:val="24"/>
        </w:rPr>
        <w:t>2015</w:t>
      </w:r>
    </w:p>
    <w:p w:rsidR="00E203C2" w:rsidRPr="007C174F" w:rsidRDefault="00E203C2" w:rsidP="00E203C2">
      <w:pPr>
        <w:rPr>
          <w:sz w:val="20"/>
          <w:szCs w:val="20"/>
          <w:lang w:val="en-AU"/>
        </w:rPr>
      </w:pPr>
    </w:p>
    <w:p w:rsidR="00E063C6" w:rsidRPr="00D40221"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D40221">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14" w:history="1">
        <w:r w:rsidRPr="007C174F">
          <w:rPr>
            <w:rStyle w:val="Hyperlink"/>
            <w:rFonts w:cs="Arial"/>
            <w:sz w:val="20"/>
            <w:szCs w:val="20"/>
            <w:lang w:val="en-AU"/>
          </w:rPr>
          <w:t>standards.management@foodstandards.gov.au</w:t>
        </w:r>
      </w:hyperlink>
      <w:r w:rsidRPr="007C174F">
        <w:rPr>
          <w:sz w:val="20"/>
          <w:szCs w:val="20"/>
          <w:lang w:val="en-AU"/>
        </w:rPr>
        <w:t xml:space="preserve">. </w:t>
      </w:r>
    </w:p>
    <w:p w:rsidR="00E203C2" w:rsidRPr="00D40221" w:rsidRDefault="00E203C2" w:rsidP="003A7725">
      <w:pPr>
        <w:rPr>
          <w:sz w:val="16"/>
          <w:szCs w:val="16"/>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D40221" w:rsidRDefault="00E203C2" w:rsidP="00E203C2">
      <w:pPr>
        <w:rPr>
          <w:sz w:val="16"/>
          <w:szCs w:val="16"/>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D40221" w:rsidRDefault="00E063C6" w:rsidP="00E203C2">
      <w:pPr>
        <w:tabs>
          <w:tab w:val="left" w:pos="4536"/>
        </w:tabs>
        <w:rPr>
          <w:sz w:val="20"/>
          <w:szCs w:val="20"/>
        </w:rPr>
      </w:pPr>
      <w:r w:rsidRPr="00D40221">
        <w:rPr>
          <w:sz w:val="20"/>
          <w:szCs w:val="20"/>
        </w:rPr>
        <w:t>AUSTRALIA</w:t>
      </w:r>
      <w:r w:rsidRPr="00D40221">
        <w:rPr>
          <w:sz w:val="20"/>
          <w:szCs w:val="20"/>
        </w:rPr>
        <w:tab/>
      </w:r>
      <w:r w:rsidRPr="00D40221">
        <w:rPr>
          <w:sz w:val="20"/>
          <w:szCs w:val="20"/>
        </w:rPr>
        <w:tab/>
        <w:t>NEW ZEALAND</w:t>
      </w:r>
    </w:p>
    <w:p w:rsidR="00413CA8" w:rsidRPr="00D40221" w:rsidRDefault="00E063C6" w:rsidP="00203540">
      <w:pPr>
        <w:tabs>
          <w:tab w:val="left" w:pos="4536"/>
        </w:tabs>
        <w:rPr>
          <w:sz w:val="20"/>
          <w:szCs w:val="20"/>
        </w:rPr>
      </w:pPr>
      <w:r w:rsidRPr="00D40221">
        <w:rPr>
          <w:sz w:val="20"/>
          <w:szCs w:val="20"/>
        </w:rPr>
        <w:t xml:space="preserve">Tel </w:t>
      </w:r>
      <w:r w:rsidR="00DD3C5E" w:rsidRPr="00D40221">
        <w:rPr>
          <w:sz w:val="20"/>
          <w:szCs w:val="20"/>
        </w:rPr>
        <w:t>+61 2</w:t>
      </w:r>
      <w:r w:rsidRPr="00D40221">
        <w:rPr>
          <w:sz w:val="20"/>
          <w:szCs w:val="20"/>
        </w:rPr>
        <w:t xml:space="preserve"> 6271 2222  </w:t>
      </w:r>
      <w:r w:rsidRPr="00D40221">
        <w:rPr>
          <w:sz w:val="20"/>
          <w:szCs w:val="20"/>
        </w:rPr>
        <w:tab/>
      </w:r>
      <w:r w:rsidRPr="00D40221">
        <w:rPr>
          <w:sz w:val="20"/>
          <w:szCs w:val="20"/>
        </w:rPr>
        <w:tab/>
        <w:t xml:space="preserve">Tel </w:t>
      </w:r>
      <w:r w:rsidR="00DD3C5E" w:rsidRPr="00D40221">
        <w:rPr>
          <w:sz w:val="20"/>
          <w:szCs w:val="20"/>
        </w:rPr>
        <w:t>+64 4</w:t>
      </w:r>
      <w:r w:rsidR="0037520F" w:rsidRPr="00D40221">
        <w:rPr>
          <w:sz w:val="20"/>
          <w:szCs w:val="20"/>
        </w:rPr>
        <w:t xml:space="preserve"> 978 5630</w:t>
      </w:r>
    </w:p>
    <w:p w:rsidR="00413CA8" w:rsidRDefault="00413CA8" w:rsidP="00E203C2">
      <w:pPr>
        <w:spacing w:line="280" w:lineRule="exact"/>
        <w:jc w:val="center"/>
        <w:rPr>
          <w:rFonts w:cs="Arial"/>
          <w:bCs/>
          <w:sz w:val="28"/>
          <w:szCs w:val="28"/>
        </w:rPr>
        <w:sectPr w:rsidR="00413CA8" w:rsidSect="00B9694C">
          <w:headerReference w:type="default" r:id="rId15"/>
          <w:footerReference w:type="even" r:id="rId16"/>
          <w:footerReference w:type="default" r:id="rId17"/>
          <w:headerReference w:type="first" r:id="rId18"/>
          <w:pgSz w:w="11906" w:h="16838"/>
          <w:pgMar w:top="1418" w:right="1418" w:bottom="1134"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9B0710" w:rsidRDefault="00567F0E">
      <w:pPr>
        <w:pStyle w:val="TOC1"/>
        <w:tabs>
          <w:tab w:val="right" w:leader="dot" w:pos="9016"/>
        </w:tabs>
        <w:rPr>
          <w:rFonts w:eastAsiaTheme="minorEastAsia" w:cstheme="minorBidi"/>
          <w:b w:val="0"/>
          <w:bCs w:val="0"/>
          <w:caps w:val="0"/>
          <w:noProof/>
          <w:sz w:val="22"/>
          <w:szCs w:val="22"/>
          <w:lang w:val="en-NZ" w:eastAsia="en-NZ"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414615566" w:history="1">
        <w:r w:rsidR="009B0710" w:rsidRPr="002A624D">
          <w:rPr>
            <w:rStyle w:val="Hyperlink"/>
            <w:noProof/>
          </w:rPr>
          <w:t>Executive summary</w:t>
        </w:r>
        <w:r w:rsidR="009B0710">
          <w:rPr>
            <w:noProof/>
            <w:webHidden/>
          </w:rPr>
          <w:tab/>
        </w:r>
        <w:r w:rsidR="009B0710">
          <w:rPr>
            <w:noProof/>
            <w:webHidden/>
          </w:rPr>
          <w:fldChar w:fldCharType="begin"/>
        </w:r>
        <w:r w:rsidR="009B0710">
          <w:rPr>
            <w:noProof/>
            <w:webHidden/>
          </w:rPr>
          <w:instrText xml:space="preserve"> PAGEREF _Toc414615566 \h </w:instrText>
        </w:r>
        <w:r w:rsidR="009B0710">
          <w:rPr>
            <w:noProof/>
            <w:webHidden/>
          </w:rPr>
        </w:r>
        <w:r w:rsidR="009B0710">
          <w:rPr>
            <w:noProof/>
            <w:webHidden/>
          </w:rPr>
          <w:fldChar w:fldCharType="separate"/>
        </w:r>
        <w:r w:rsidR="0052439D">
          <w:rPr>
            <w:noProof/>
            <w:webHidden/>
          </w:rPr>
          <w:t>1</w:t>
        </w:r>
        <w:r w:rsidR="009B0710">
          <w:rPr>
            <w:noProof/>
            <w:webHidden/>
          </w:rPr>
          <w:fldChar w:fldCharType="end"/>
        </w:r>
      </w:hyperlink>
    </w:p>
    <w:p w:rsidR="009B0710" w:rsidRDefault="0052439D">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14615567" w:history="1">
        <w:r w:rsidR="009B0710" w:rsidRPr="002A624D">
          <w:rPr>
            <w:rStyle w:val="Hyperlink"/>
            <w:noProof/>
          </w:rPr>
          <w:t>1</w:t>
        </w:r>
        <w:r w:rsidR="009B0710">
          <w:rPr>
            <w:rFonts w:eastAsiaTheme="minorEastAsia" w:cstheme="minorBidi"/>
            <w:b w:val="0"/>
            <w:bCs w:val="0"/>
            <w:caps w:val="0"/>
            <w:noProof/>
            <w:sz w:val="22"/>
            <w:szCs w:val="22"/>
            <w:lang w:val="en-NZ" w:eastAsia="en-NZ" w:bidi="ar-SA"/>
          </w:rPr>
          <w:tab/>
        </w:r>
        <w:r w:rsidR="009B0710" w:rsidRPr="002A624D">
          <w:rPr>
            <w:rStyle w:val="Hyperlink"/>
            <w:noProof/>
          </w:rPr>
          <w:t>Introduction</w:t>
        </w:r>
        <w:r w:rsidR="009B0710">
          <w:rPr>
            <w:noProof/>
            <w:webHidden/>
          </w:rPr>
          <w:tab/>
        </w:r>
        <w:r w:rsidR="009B0710">
          <w:rPr>
            <w:noProof/>
            <w:webHidden/>
          </w:rPr>
          <w:fldChar w:fldCharType="begin"/>
        </w:r>
        <w:r w:rsidR="009B0710">
          <w:rPr>
            <w:noProof/>
            <w:webHidden/>
          </w:rPr>
          <w:instrText xml:space="preserve"> PAGEREF _Toc414615567 \h </w:instrText>
        </w:r>
        <w:r w:rsidR="009B0710">
          <w:rPr>
            <w:noProof/>
            <w:webHidden/>
          </w:rPr>
        </w:r>
        <w:r w:rsidR="009B0710">
          <w:rPr>
            <w:noProof/>
            <w:webHidden/>
          </w:rPr>
          <w:fldChar w:fldCharType="separate"/>
        </w:r>
        <w:r>
          <w:rPr>
            <w:noProof/>
            <w:webHidden/>
          </w:rPr>
          <w:t>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68" w:history="1">
        <w:r w:rsidR="009B0710" w:rsidRPr="002A624D">
          <w:rPr>
            <w:rStyle w:val="Hyperlink"/>
            <w:noProof/>
          </w:rPr>
          <w:t>1.1</w:t>
        </w:r>
        <w:r w:rsidR="009B0710">
          <w:rPr>
            <w:rFonts w:eastAsiaTheme="minorEastAsia" w:cstheme="minorBidi"/>
            <w:smallCaps w:val="0"/>
            <w:noProof/>
            <w:sz w:val="22"/>
            <w:szCs w:val="22"/>
            <w:lang w:val="en-NZ" w:eastAsia="en-NZ" w:bidi="ar-SA"/>
          </w:rPr>
          <w:tab/>
        </w:r>
        <w:r w:rsidR="009B0710" w:rsidRPr="002A624D">
          <w:rPr>
            <w:rStyle w:val="Hyperlink"/>
            <w:noProof/>
          </w:rPr>
          <w:t>The Applicant</w:t>
        </w:r>
        <w:r w:rsidR="009B0710">
          <w:rPr>
            <w:noProof/>
            <w:webHidden/>
          </w:rPr>
          <w:tab/>
        </w:r>
        <w:r w:rsidR="009B0710">
          <w:rPr>
            <w:noProof/>
            <w:webHidden/>
          </w:rPr>
          <w:fldChar w:fldCharType="begin"/>
        </w:r>
        <w:r w:rsidR="009B0710">
          <w:rPr>
            <w:noProof/>
            <w:webHidden/>
          </w:rPr>
          <w:instrText xml:space="preserve"> PAGEREF _Toc414615568 \h </w:instrText>
        </w:r>
        <w:r w:rsidR="009B0710">
          <w:rPr>
            <w:noProof/>
            <w:webHidden/>
          </w:rPr>
        </w:r>
        <w:r w:rsidR="009B0710">
          <w:rPr>
            <w:noProof/>
            <w:webHidden/>
          </w:rPr>
          <w:fldChar w:fldCharType="separate"/>
        </w:r>
        <w:r>
          <w:rPr>
            <w:noProof/>
            <w:webHidden/>
          </w:rPr>
          <w:t>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69" w:history="1">
        <w:r w:rsidR="009B0710" w:rsidRPr="002A624D">
          <w:rPr>
            <w:rStyle w:val="Hyperlink"/>
            <w:noProof/>
          </w:rPr>
          <w:t>1.2</w:t>
        </w:r>
        <w:r w:rsidR="009B0710">
          <w:rPr>
            <w:rFonts w:eastAsiaTheme="minorEastAsia" w:cstheme="minorBidi"/>
            <w:smallCaps w:val="0"/>
            <w:noProof/>
            <w:sz w:val="22"/>
            <w:szCs w:val="22"/>
            <w:lang w:val="en-NZ" w:eastAsia="en-NZ" w:bidi="ar-SA"/>
          </w:rPr>
          <w:tab/>
        </w:r>
        <w:r w:rsidR="009B0710" w:rsidRPr="002A624D">
          <w:rPr>
            <w:rStyle w:val="Hyperlink"/>
            <w:noProof/>
          </w:rPr>
          <w:t>The Application</w:t>
        </w:r>
        <w:r w:rsidR="009B0710">
          <w:rPr>
            <w:noProof/>
            <w:webHidden/>
          </w:rPr>
          <w:tab/>
        </w:r>
        <w:r w:rsidR="009B0710">
          <w:rPr>
            <w:noProof/>
            <w:webHidden/>
          </w:rPr>
          <w:fldChar w:fldCharType="begin"/>
        </w:r>
        <w:r w:rsidR="009B0710">
          <w:rPr>
            <w:noProof/>
            <w:webHidden/>
          </w:rPr>
          <w:instrText xml:space="preserve"> PAGEREF _Toc414615569 \h </w:instrText>
        </w:r>
        <w:r w:rsidR="009B0710">
          <w:rPr>
            <w:noProof/>
            <w:webHidden/>
          </w:rPr>
        </w:r>
        <w:r w:rsidR="009B0710">
          <w:rPr>
            <w:noProof/>
            <w:webHidden/>
          </w:rPr>
          <w:fldChar w:fldCharType="separate"/>
        </w:r>
        <w:r>
          <w:rPr>
            <w:noProof/>
            <w:webHidden/>
          </w:rPr>
          <w:t>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0" w:history="1">
        <w:r w:rsidR="009B0710" w:rsidRPr="002A624D">
          <w:rPr>
            <w:rStyle w:val="Hyperlink"/>
            <w:noProof/>
          </w:rPr>
          <w:t>1.3</w:t>
        </w:r>
        <w:r w:rsidR="009B0710">
          <w:rPr>
            <w:rFonts w:eastAsiaTheme="minorEastAsia" w:cstheme="minorBidi"/>
            <w:smallCaps w:val="0"/>
            <w:noProof/>
            <w:sz w:val="22"/>
            <w:szCs w:val="22"/>
            <w:lang w:val="en-NZ" w:eastAsia="en-NZ" w:bidi="ar-SA"/>
          </w:rPr>
          <w:tab/>
        </w:r>
        <w:r w:rsidR="009B0710" w:rsidRPr="002A624D">
          <w:rPr>
            <w:rStyle w:val="Hyperlink"/>
            <w:noProof/>
          </w:rPr>
          <w:t>The current Standard</w:t>
        </w:r>
        <w:r w:rsidR="009B0710">
          <w:rPr>
            <w:noProof/>
            <w:webHidden/>
          </w:rPr>
          <w:tab/>
        </w:r>
        <w:r w:rsidR="009B0710">
          <w:rPr>
            <w:noProof/>
            <w:webHidden/>
          </w:rPr>
          <w:fldChar w:fldCharType="begin"/>
        </w:r>
        <w:r w:rsidR="009B0710">
          <w:rPr>
            <w:noProof/>
            <w:webHidden/>
          </w:rPr>
          <w:instrText xml:space="preserve"> PAGEREF _Toc414615570 \h </w:instrText>
        </w:r>
        <w:r w:rsidR="009B0710">
          <w:rPr>
            <w:noProof/>
            <w:webHidden/>
          </w:rPr>
        </w:r>
        <w:r w:rsidR="009B0710">
          <w:rPr>
            <w:noProof/>
            <w:webHidden/>
          </w:rPr>
          <w:fldChar w:fldCharType="separate"/>
        </w:r>
        <w:r>
          <w:rPr>
            <w:noProof/>
            <w:webHidden/>
          </w:rPr>
          <w:t>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1" w:history="1">
        <w:r w:rsidR="009B0710" w:rsidRPr="002A624D">
          <w:rPr>
            <w:rStyle w:val="Hyperlink"/>
            <w:noProof/>
          </w:rPr>
          <w:t>1.4</w:t>
        </w:r>
        <w:r w:rsidR="009B0710">
          <w:rPr>
            <w:rFonts w:eastAsiaTheme="minorEastAsia" w:cstheme="minorBidi"/>
            <w:smallCaps w:val="0"/>
            <w:noProof/>
            <w:sz w:val="22"/>
            <w:szCs w:val="22"/>
            <w:lang w:val="en-NZ" w:eastAsia="en-NZ" w:bidi="ar-SA"/>
          </w:rPr>
          <w:tab/>
        </w:r>
        <w:r w:rsidR="009B0710" w:rsidRPr="002A624D">
          <w:rPr>
            <w:rStyle w:val="Hyperlink"/>
            <w:noProof/>
          </w:rPr>
          <w:t>Justification for the Application</w:t>
        </w:r>
        <w:r w:rsidR="009B0710">
          <w:rPr>
            <w:noProof/>
            <w:webHidden/>
          </w:rPr>
          <w:tab/>
        </w:r>
        <w:r w:rsidR="009B0710">
          <w:rPr>
            <w:noProof/>
            <w:webHidden/>
          </w:rPr>
          <w:fldChar w:fldCharType="begin"/>
        </w:r>
        <w:r w:rsidR="009B0710">
          <w:rPr>
            <w:noProof/>
            <w:webHidden/>
          </w:rPr>
          <w:instrText xml:space="preserve"> PAGEREF _Toc414615571 \h </w:instrText>
        </w:r>
        <w:r w:rsidR="009B0710">
          <w:rPr>
            <w:noProof/>
            <w:webHidden/>
          </w:rPr>
        </w:r>
        <w:r w:rsidR="009B0710">
          <w:rPr>
            <w:noProof/>
            <w:webHidden/>
          </w:rPr>
          <w:fldChar w:fldCharType="separate"/>
        </w:r>
        <w:r>
          <w:rPr>
            <w:noProof/>
            <w:webHidden/>
          </w:rPr>
          <w:t>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2" w:history="1">
        <w:r w:rsidR="009B0710" w:rsidRPr="002A624D">
          <w:rPr>
            <w:rStyle w:val="Hyperlink"/>
            <w:noProof/>
          </w:rPr>
          <w:t>1.5</w:t>
        </w:r>
        <w:r w:rsidR="009B0710">
          <w:rPr>
            <w:rFonts w:eastAsiaTheme="minorEastAsia" w:cstheme="minorBidi"/>
            <w:smallCaps w:val="0"/>
            <w:noProof/>
            <w:sz w:val="22"/>
            <w:szCs w:val="22"/>
            <w:lang w:val="en-NZ" w:eastAsia="en-NZ" w:bidi="ar-SA"/>
          </w:rPr>
          <w:tab/>
        </w:r>
        <w:r w:rsidR="009B0710" w:rsidRPr="002A624D">
          <w:rPr>
            <w:rStyle w:val="Hyperlink"/>
            <w:noProof/>
          </w:rPr>
          <w:t>Reasons for accepting the Application</w:t>
        </w:r>
        <w:r w:rsidR="009B0710">
          <w:rPr>
            <w:noProof/>
            <w:webHidden/>
          </w:rPr>
          <w:tab/>
        </w:r>
        <w:r w:rsidR="009B0710">
          <w:rPr>
            <w:noProof/>
            <w:webHidden/>
          </w:rPr>
          <w:fldChar w:fldCharType="begin"/>
        </w:r>
        <w:r w:rsidR="009B0710">
          <w:rPr>
            <w:noProof/>
            <w:webHidden/>
          </w:rPr>
          <w:instrText xml:space="preserve"> PAGEREF _Toc414615572 \h </w:instrText>
        </w:r>
        <w:r w:rsidR="009B0710">
          <w:rPr>
            <w:noProof/>
            <w:webHidden/>
          </w:rPr>
        </w:r>
        <w:r w:rsidR="009B0710">
          <w:rPr>
            <w:noProof/>
            <w:webHidden/>
          </w:rPr>
          <w:fldChar w:fldCharType="separate"/>
        </w:r>
        <w:r>
          <w:rPr>
            <w:noProof/>
            <w:webHidden/>
          </w:rPr>
          <w:t>3</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3" w:history="1">
        <w:r w:rsidR="009B0710" w:rsidRPr="002A624D">
          <w:rPr>
            <w:rStyle w:val="Hyperlink"/>
            <w:noProof/>
          </w:rPr>
          <w:t>1.6</w:t>
        </w:r>
        <w:r w:rsidR="009B0710">
          <w:rPr>
            <w:rFonts w:eastAsiaTheme="minorEastAsia" w:cstheme="minorBidi"/>
            <w:smallCaps w:val="0"/>
            <w:noProof/>
            <w:sz w:val="22"/>
            <w:szCs w:val="22"/>
            <w:lang w:val="en-NZ" w:eastAsia="en-NZ" w:bidi="ar-SA"/>
          </w:rPr>
          <w:tab/>
        </w:r>
        <w:r w:rsidR="009B0710" w:rsidRPr="002A624D">
          <w:rPr>
            <w:rStyle w:val="Hyperlink"/>
            <w:noProof/>
          </w:rPr>
          <w:t>Procedure for assessment</w:t>
        </w:r>
        <w:r w:rsidR="009B0710">
          <w:rPr>
            <w:noProof/>
            <w:webHidden/>
          </w:rPr>
          <w:tab/>
        </w:r>
        <w:r w:rsidR="009B0710">
          <w:rPr>
            <w:noProof/>
            <w:webHidden/>
          </w:rPr>
          <w:fldChar w:fldCharType="begin"/>
        </w:r>
        <w:r w:rsidR="009B0710">
          <w:rPr>
            <w:noProof/>
            <w:webHidden/>
          </w:rPr>
          <w:instrText xml:space="preserve"> PAGEREF _Toc414615573 \h </w:instrText>
        </w:r>
        <w:r w:rsidR="009B0710">
          <w:rPr>
            <w:noProof/>
            <w:webHidden/>
          </w:rPr>
        </w:r>
        <w:r w:rsidR="009B0710">
          <w:rPr>
            <w:noProof/>
            <w:webHidden/>
          </w:rPr>
          <w:fldChar w:fldCharType="separate"/>
        </w:r>
        <w:r>
          <w:rPr>
            <w:noProof/>
            <w:webHidden/>
          </w:rPr>
          <w:t>3</w:t>
        </w:r>
        <w:r w:rsidR="009B0710">
          <w:rPr>
            <w:noProof/>
            <w:webHidden/>
          </w:rPr>
          <w:fldChar w:fldCharType="end"/>
        </w:r>
      </w:hyperlink>
    </w:p>
    <w:p w:rsidR="009B0710" w:rsidRDefault="0052439D">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14615574" w:history="1">
        <w:r w:rsidR="009B0710" w:rsidRPr="002A624D">
          <w:rPr>
            <w:rStyle w:val="Hyperlink"/>
            <w:noProof/>
          </w:rPr>
          <w:t>2</w:t>
        </w:r>
        <w:r w:rsidR="009B0710">
          <w:rPr>
            <w:rFonts w:eastAsiaTheme="minorEastAsia" w:cstheme="minorBidi"/>
            <w:b w:val="0"/>
            <w:bCs w:val="0"/>
            <w:caps w:val="0"/>
            <w:noProof/>
            <w:sz w:val="22"/>
            <w:szCs w:val="22"/>
            <w:lang w:val="en-NZ" w:eastAsia="en-NZ" w:bidi="ar-SA"/>
          </w:rPr>
          <w:tab/>
        </w:r>
        <w:r w:rsidR="009B0710" w:rsidRPr="002A624D">
          <w:rPr>
            <w:rStyle w:val="Hyperlink"/>
            <w:noProof/>
          </w:rPr>
          <w:t>Summary of the assessment</w:t>
        </w:r>
        <w:r w:rsidR="009B0710">
          <w:rPr>
            <w:noProof/>
            <w:webHidden/>
          </w:rPr>
          <w:tab/>
        </w:r>
        <w:r w:rsidR="009B0710">
          <w:rPr>
            <w:noProof/>
            <w:webHidden/>
          </w:rPr>
          <w:fldChar w:fldCharType="begin"/>
        </w:r>
        <w:r w:rsidR="009B0710">
          <w:rPr>
            <w:noProof/>
            <w:webHidden/>
          </w:rPr>
          <w:instrText xml:space="preserve"> PAGEREF _Toc414615574 \h </w:instrText>
        </w:r>
        <w:r w:rsidR="009B0710">
          <w:rPr>
            <w:noProof/>
            <w:webHidden/>
          </w:rPr>
        </w:r>
        <w:r w:rsidR="009B0710">
          <w:rPr>
            <w:noProof/>
            <w:webHidden/>
          </w:rPr>
          <w:fldChar w:fldCharType="separate"/>
        </w:r>
        <w:r>
          <w:rPr>
            <w:noProof/>
            <w:webHidden/>
          </w:rPr>
          <w:t>4</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5" w:history="1">
        <w:r w:rsidR="009B0710" w:rsidRPr="002A624D">
          <w:rPr>
            <w:rStyle w:val="Hyperlink"/>
            <w:noProof/>
          </w:rPr>
          <w:t>2.1</w:t>
        </w:r>
        <w:r w:rsidR="009B0710">
          <w:rPr>
            <w:rFonts w:eastAsiaTheme="minorEastAsia" w:cstheme="minorBidi"/>
            <w:smallCaps w:val="0"/>
            <w:noProof/>
            <w:sz w:val="22"/>
            <w:szCs w:val="22"/>
            <w:lang w:val="en-NZ" w:eastAsia="en-NZ" w:bidi="ar-SA"/>
          </w:rPr>
          <w:tab/>
        </w:r>
        <w:r w:rsidR="009B0710" w:rsidRPr="002A624D">
          <w:rPr>
            <w:rStyle w:val="Hyperlink"/>
            <w:noProof/>
          </w:rPr>
          <w:t>Summary of issues raised in submissions</w:t>
        </w:r>
        <w:r w:rsidR="009B0710">
          <w:rPr>
            <w:noProof/>
            <w:webHidden/>
          </w:rPr>
          <w:tab/>
        </w:r>
        <w:r w:rsidR="009B0710">
          <w:rPr>
            <w:noProof/>
            <w:webHidden/>
          </w:rPr>
          <w:fldChar w:fldCharType="begin"/>
        </w:r>
        <w:r w:rsidR="009B0710">
          <w:rPr>
            <w:noProof/>
            <w:webHidden/>
          </w:rPr>
          <w:instrText xml:space="preserve"> PAGEREF _Toc414615575 \h </w:instrText>
        </w:r>
        <w:r w:rsidR="009B0710">
          <w:rPr>
            <w:noProof/>
            <w:webHidden/>
          </w:rPr>
        </w:r>
        <w:r w:rsidR="009B0710">
          <w:rPr>
            <w:noProof/>
            <w:webHidden/>
          </w:rPr>
          <w:fldChar w:fldCharType="separate"/>
        </w:r>
        <w:r>
          <w:rPr>
            <w:noProof/>
            <w:webHidden/>
          </w:rPr>
          <w:t>4</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6" w:history="1">
        <w:r w:rsidR="009B0710" w:rsidRPr="002A624D">
          <w:rPr>
            <w:rStyle w:val="Hyperlink"/>
            <w:noProof/>
          </w:rPr>
          <w:t>2.2</w:t>
        </w:r>
        <w:r w:rsidR="009B0710">
          <w:rPr>
            <w:rFonts w:eastAsiaTheme="minorEastAsia" w:cstheme="minorBidi"/>
            <w:smallCaps w:val="0"/>
            <w:noProof/>
            <w:sz w:val="22"/>
            <w:szCs w:val="22"/>
            <w:lang w:val="en-NZ" w:eastAsia="en-NZ" w:bidi="ar-SA"/>
          </w:rPr>
          <w:tab/>
        </w:r>
        <w:r w:rsidR="009B0710" w:rsidRPr="002A624D">
          <w:rPr>
            <w:rStyle w:val="Hyperlink"/>
            <w:noProof/>
          </w:rPr>
          <w:t>Risk assessment</w:t>
        </w:r>
        <w:r w:rsidR="009B0710">
          <w:rPr>
            <w:noProof/>
            <w:webHidden/>
          </w:rPr>
          <w:tab/>
        </w:r>
        <w:r w:rsidR="009B0710">
          <w:rPr>
            <w:noProof/>
            <w:webHidden/>
          </w:rPr>
          <w:fldChar w:fldCharType="begin"/>
        </w:r>
        <w:r w:rsidR="009B0710">
          <w:rPr>
            <w:noProof/>
            <w:webHidden/>
          </w:rPr>
          <w:instrText xml:space="preserve"> PAGEREF _Toc414615576 \h </w:instrText>
        </w:r>
        <w:r w:rsidR="009B0710">
          <w:rPr>
            <w:noProof/>
            <w:webHidden/>
          </w:rPr>
        </w:r>
        <w:r w:rsidR="009B0710">
          <w:rPr>
            <w:noProof/>
            <w:webHidden/>
          </w:rPr>
          <w:fldChar w:fldCharType="separate"/>
        </w:r>
        <w:r>
          <w:rPr>
            <w:noProof/>
            <w:webHidden/>
          </w:rPr>
          <w:t>9</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7" w:history="1">
        <w:r w:rsidR="009B0710" w:rsidRPr="002A624D">
          <w:rPr>
            <w:rStyle w:val="Hyperlink"/>
            <w:noProof/>
          </w:rPr>
          <w:t>2.3</w:t>
        </w:r>
        <w:r w:rsidR="009B0710">
          <w:rPr>
            <w:rFonts w:eastAsiaTheme="minorEastAsia" w:cstheme="minorBidi"/>
            <w:smallCaps w:val="0"/>
            <w:noProof/>
            <w:sz w:val="22"/>
            <w:szCs w:val="22"/>
            <w:lang w:val="en-NZ" w:eastAsia="en-NZ" w:bidi="ar-SA"/>
          </w:rPr>
          <w:tab/>
        </w:r>
        <w:r w:rsidR="009B0710" w:rsidRPr="002A624D">
          <w:rPr>
            <w:rStyle w:val="Hyperlink"/>
            <w:noProof/>
          </w:rPr>
          <w:t>Impact analysis</w:t>
        </w:r>
        <w:r w:rsidR="009B0710">
          <w:rPr>
            <w:noProof/>
            <w:webHidden/>
          </w:rPr>
          <w:tab/>
        </w:r>
        <w:r w:rsidR="009B0710">
          <w:rPr>
            <w:noProof/>
            <w:webHidden/>
          </w:rPr>
          <w:fldChar w:fldCharType="begin"/>
        </w:r>
        <w:r w:rsidR="009B0710">
          <w:rPr>
            <w:noProof/>
            <w:webHidden/>
          </w:rPr>
          <w:instrText xml:space="preserve"> PAGEREF _Toc414615577 \h </w:instrText>
        </w:r>
        <w:r w:rsidR="009B0710">
          <w:rPr>
            <w:noProof/>
            <w:webHidden/>
          </w:rPr>
        </w:r>
        <w:r w:rsidR="009B0710">
          <w:rPr>
            <w:noProof/>
            <w:webHidden/>
          </w:rPr>
          <w:fldChar w:fldCharType="separate"/>
        </w:r>
        <w:r>
          <w:rPr>
            <w:noProof/>
            <w:webHidden/>
          </w:rPr>
          <w:t>9</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8" w:history="1">
        <w:r w:rsidR="009B0710" w:rsidRPr="002A624D">
          <w:rPr>
            <w:rStyle w:val="Hyperlink"/>
            <w:noProof/>
          </w:rPr>
          <w:t>2.4</w:t>
        </w:r>
        <w:r w:rsidR="009B0710">
          <w:rPr>
            <w:rFonts w:eastAsiaTheme="minorEastAsia" w:cstheme="minorBidi"/>
            <w:smallCaps w:val="0"/>
            <w:noProof/>
            <w:sz w:val="22"/>
            <w:szCs w:val="22"/>
            <w:lang w:val="en-NZ" w:eastAsia="en-NZ" w:bidi="ar-SA"/>
          </w:rPr>
          <w:tab/>
        </w:r>
        <w:r w:rsidR="009B0710" w:rsidRPr="002A624D">
          <w:rPr>
            <w:rStyle w:val="Hyperlink"/>
            <w:noProof/>
          </w:rPr>
          <w:t>Risk management</w:t>
        </w:r>
        <w:r w:rsidR="009B0710">
          <w:rPr>
            <w:noProof/>
            <w:webHidden/>
          </w:rPr>
          <w:tab/>
        </w:r>
        <w:r w:rsidR="009B0710">
          <w:rPr>
            <w:noProof/>
            <w:webHidden/>
          </w:rPr>
          <w:fldChar w:fldCharType="begin"/>
        </w:r>
        <w:r w:rsidR="009B0710">
          <w:rPr>
            <w:noProof/>
            <w:webHidden/>
          </w:rPr>
          <w:instrText xml:space="preserve"> PAGEREF _Toc414615578 \h </w:instrText>
        </w:r>
        <w:r w:rsidR="009B0710">
          <w:rPr>
            <w:noProof/>
            <w:webHidden/>
          </w:rPr>
        </w:r>
        <w:r w:rsidR="009B0710">
          <w:rPr>
            <w:noProof/>
            <w:webHidden/>
          </w:rPr>
          <w:fldChar w:fldCharType="separate"/>
        </w:r>
        <w:r>
          <w:rPr>
            <w:noProof/>
            <w:webHidden/>
          </w:rPr>
          <w:t>12</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79" w:history="1">
        <w:r w:rsidR="009B0710" w:rsidRPr="002A624D">
          <w:rPr>
            <w:rStyle w:val="Hyperlink"/>
            <w:noProof/>
          </w:rPr>
          <w:t>2.5</w:t>
        </w:r>
        <w:r w:rsidR="009B0710">
          <w:rPr>
            <w:rFonts w:eastAsiaTheme="minorEastAsia" w:cstheme="minorBidi"/>
            <w:smallCaps w:val="0"/>
            <w:noProof/>
            <w:sz w:val="22"/>
            <w:szCs w:val="22"/>
            <w:lang w:val="en-NZ" w:eastAsia="en-NZ" w:bidi="ar-SA"/>
          </w:rPr>
          <w:tab/>
        </w:r>
        <w:r w:rsidR="009B0710" w:rsidRPr="002A624D">
          <w:rPr>
            <w:rStyle w:val="Hyperlink"/>
            <w:noProof/>
          </w:rPr>
          <w:t>Risk communication</w:t>
        </w:r>
        <w:r w:rsidR="009B0710">
          <w:rPr>
            <w:noProof/>
            <w:webHidden/>
          </w:rPr>
          <w:tab/>
        </w:r>
        <w:r w:rsidR="009B0710">
          <w:rPr>
            <w:noProof/>
            <w:webHidden/>
          </w:rPr>
          <w:fldChar w:fldCharType="begin"/>
        </w:r>
        <w:r w:rsidR="009B0710">
          <w:rPr>
            <w:noProof/>
            <w:webHidden/>
          </w:rPr>
          <w:instrText xml:space="preserve"> PAGEREF _Toc414615579 \h </w:instrText>
        </w:r>
        <w:r w:rsidR="009B0710">
          <w:rPr>
            <w:noProof/>
            <w:webHidden/>
          </w:rPr>
        </w:r>
        <w:r w:rsidR="009B0710">
          <w:rPr>
            <w:noProof/>
            <w:webHidden/>
          </w:rPr>
          <w:fldChar w:fldCharType="separate"/>
        </w:r>
        <w:r>
          <w:rPr>
            <w:noProof/>
            <w:webHidden/>
          </w:rPr>
          <w:t>13</w:t>
        </w:r>
        <w:r w:rsidR="009B0710">
          <w:rPr>
            <w:noProof/>
            <w:webHidden/>
          </w:rPr>
          <w:fldChar w:fldCharType="end"/>
        </w:r>
      </w:hyperlink>
    </w:p>
    <w:p w:rsidR="009B0710" w:rsidRDefault="0052439D">
      <w:pPr>
        <w:pStyle w:val="TOC2"/>
        <w:tabs>
          <w:tab w:val="left" w:pos="880"/>
          <w:tab w:val="right" w:leader="dot" w:pos="9016"/>
        </w:tabs>
        <w:rPr>
          <w:rFonts w:eastAsiaTheme="minorEastAsia" w:cstheme="minorBidi"/>
          <w:smallCaps w:val="0"/>
          <w:noProof/>
          <w:sz w:val="22"/>
          <w:szCs w:val="22"/>
          <w:lang w:val="en-NZ" w:eastAsia="en-NZ" w:bidi="ar-SA"/>
        </w:rPr>
      </w:pPr>
      <w:hyperlink w:anchor="_Toc414615580" w:history="1">
        <w:r w:rsidR="009B0710" w:rsidRPr="002A624D">
          <w:rPr>
            <w:rStyle w:val="Hyperlink"/>
            <w:noProof/>
          </w:rPr>
          <w:t>2.6</w:t>
        </w:r>
        <w:r w:rsidR="009B0710">
          <w:rPr>
            <w:rFonts w:eastAsiaTheme="minorEastAsia" w:cstheme="minorBidi"/>
            <w:smallCaps w:val="0"/>
            <w:noProof/>
            <w:sz w:val="22"/>
            <w:szCs w:val="22"/>
            <w:lang w:val="en-NZ" w:eastAsia="en-NZ" w:bidi="ar-SA"/>
          </w:rPr>
          <w:tab/>
        </w:r>
        <w:r w:rsidR="009B0710" w:rsidRPr="002A624D">
          <w:rPr>
            <w:rStyle w:val="Hyperlink"/>
            <w:noProof/>
          </w:rPr>
          <w:t>FSANZ Act assessment requirements</w:t>
        </w:r>
        <w:r w:rsidR="009B0710">
          <w:rPr>
            <w:noProof/>
            <w:webHidden/>
          </w:rPr>
          <w:tab/>
        </w:r>
        <w:r w:rsidR="009B0710">
          <w:rPr>
            <w:noProof/>
            <w:webHidden/>
          </w:rPr>
          <w:fldChar w:fldCharType="begin"/>
        </w:r>
        <w:r w:rsidR="009B0710">
          <w:rPr>
            <w:noProof/>
            <w:webHidden/>
          </w:rPr>
          <w:instrText xml:space="preserve"> PAGEREF _Toc414615580 \h </w:instrText>
        </w:r>
        <w:r w:rsidR="009B0710">
          <w:rPr>
            <w:noProof/>
            <w:webHidden/>
          </w:rPr>
        </w:r>
        <w:r w:rsidR="009B0710">
          <w:rPr>
            <w:noProof/>
            <w:webHidden/>
          </w:rPr>
          <w:fldChar w:fldCharType="separate"/>
        </w:r>
        <w:r>
          <w:rPr>
            <w:noProof/>
            <w:webHidden/>
          </w:rPr>
          <w:t>14</w:t>
        </w:r>
        <w:r w:rsidR="009B0710">
          <w:rPr>
            <w:noProof/>
            <w:webHidden/>
          </w:rPr>
          <w:fldChar w:fldCharType="end"/>
        </w:r>
      </w:hyperlink>
    </w:p>
    <w:p w:rsidR="009B0710" w:rsidRDefault="0052439D">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14615581" w:history="1">
        <w:r w:rsidR="009B0710" w:rsidRPr="002A624D">
          <w:rPr>
            <w:rStyle w:val="Hyperlink"/>
            <w:noProof/>
          </w:rPr>
          <w:t>3</w:t>
        </w:r>
        <w:r w:rsidR="009B0710">
          <w:rPr>
            <w:rFonts w:eastAsiaTheme="minorEastAsia" w:cstheme="minorBidi"/>
            <w:b w:val="0"/>
            <w:bCs w:val="0"/>
            <w:caps w:val="0"/>
            <w:noProof/>
            <w:sz w:val="22"/>
            <w:szCs w:val="22"/>
            <w:lang w:val="en-NZ" w:eastAsia="en-NZ" w:bidi="ar-SA"/>
          </w:rPr>
          <w:tab/>
        </w:r>
        <w:r w:rsidR="009B0710" w:rsidRPr="002A624D">
          <w:rPr>
            <w:rStyle w:val="Hyperlink"/>
            <w:noProof/>
          </w:rPr>
          <w:t>Draft variations</w:t>
        </w:r>
        <w:r w:rsidR="009B0710">
          <w:rPr>
            <w:noProof/>
            <w:webHidden/>
          </w:rPr>
          <w:tab/>
        </w:r>
        <w:r w:rsidR="009B0710">
          <w:rPr>
            <w:noProof/>
            <w:webHidden/>
          </w:rPr>
          <w:fldChar w:fldCharType="begin"/>
        </w:r>
        <w:r w:rsidR="009B0710">
          <w:rPr>
            <w:noProof/>
            <w:webHidden/>
          </w:rPr>
          <w:instrText xml:space="preserve"> PAGEREF _Toc414615581 \h </w:instrText>
        </w:r>
        <w:r w:rsidR="009B0710">
          <w:rPr>
            <w:noProof/>
            <w:webHidden/>
          </w:rPr>
        </w:r>
        <w:r w:rsidR="009B0710">
          <w:rPr>
            <w:noProof/>
            <w:webHidden/>
          </w:rPr>
          <w:fldChar w:fldCharType="separate"/>
        </w:r>
        <w:r>
          <w:rPr>
            <w:noProof/>
            <w:webHidden/>
          </w:rPr>
          <w:t>16</w:t>
        </w:r>
        <w:r w:rsidR="009B0710">
          <w:rPr>
            <w:noProof/>
            <w:webHidden/>
          </w:rPr>
          <w:fldChar w:fldCharType="end"/>
        </w:r>
      </w:hyperlink>
    </w:p>
    <w:p w:rsidR="009B0710" w:rsidRDefault="0052439D">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14615582" w:history="1">
        <w:r w:rsidR="009B0710" w:rsidRPr="002A624D">
          <w:rPr>
            <w:rStyle w:val="Hyperlink"/>
            <w:noProof/>
          </w:rPr>
          <w:t>4</w:t>
        </w:r>
        <w:r w:rsidR="009B0710">
          <w:rPr>
            <w:rFonts w:eastAsiaTheme="minorEastAsia" w:cstheme="minorBidi"/>
            <w:b w:val="0"/>
            <w:bCs w:val="0"/>
            <w:caps w:val="0"/>
            <w:noProof/>
            <w:sz w:val="22"/>
            <w:szCs w:val="22"/>
            <w:lang w:val="en-NZ" w:eastAsia="en-NZ" w:bidi="ar-SA"/>
          </w:rPr>
          <w:tab/>
        </w:r>
        <w:r w:rsidR="009B0710" w:rsidRPr="002A624D">
          <w:rPr>
            <w:rStyle w:val="Hyperlink"/>
            <w:noProof/>
          </w:rPr>
          <w:t>References</w:t>
        </w:r>
        <w:r w:rsidR="009B0710">
          <w:rPr>
            <w:noProof/>
            <w:webHidden/>
          </w:rPr>
          <w:tab/>
        </w:r>
        <w:r w:rsidR="009B0710">
          <w:rPr>
            <w:noProof/>
            <w:webHidden/>
          </w:rPr>
          <w:fldChar w:fldCharType="begin"/>
        </w:r>
        <w:r w:rsidR="009B0710">
          <w:rPr>
            <w:noProof/>
            <w:webHidden/>
          </w:rPr>
          <w:instrText xml:space="preserve"> PAGEREF _Toc414615582 \h </w:instrText>
        </w:r>
        <w:r w:rsidR="009B0710">
          <w:rPr>
            <w:noProof/>
            <w:webHidden/>
          </w:rPr>
        </w:r>
        <w:r w:rsidR="009B0710">
          <w:rPr>
            <w:noProof/>
            <w:webHidden/>
          </w:rPr>
          <w:fldChar w:fldCharType="separate"/>
        </w:r>
        <w:r>
          <w:rPr>
            <w:noProof/>
            <w:webHidden/>
          </w:rPr>
          <w:t>17</w:t>
        </w:r>
        <w:r w:rsidR="009B0710">
          <w:rPr>
            <w:noProof/>
            <w:webHidden/>
          </w:rPr>
          <w:fldChar w:fldCharType="end"/>
        </w:r>
      </w:hyperlink>
    </w:p>
    <w:p w:rsidR="009B0710" w:rsidRDefault="0052439D">
      <w:pPr>
        <w:pStyle w:val="TOC2"/>
        <w:tabs>
          <w:tab w:val="right" w:leader="dot" w:pos="9016"/>
        </w:tabs>
        <w:rPr>
          <w:rFonts w:eastAsiaTheme="minorEastAsia" w:cstheme="minorBidi"/>
          <w:smallCaps w:val="0"/>
          <w:noProof/>
          <w:sz w:val="22"/>
          <w:szCs w:val="22"/>
          <w:lang w:val="en-NZ" w:eastAsia="en-NZ" w:bidi="ar-SA"/>
        </w:rPr>
      </w:pPr>
      <w:hyperlink w:anchor="_Toc414615583" w:history="1">
        <w:r w:rsidR="009B0710" w:rsidRPr="002A624D">
          <w:rPr>
            <w:rStyle w:val="Hyperlink"/>
            <w:noProof/>
          </w:rPr>
          <w:t xml:space="preserve">Attachment A – Draft variation to the </w:t>
        </w:r>
        <w:r w:rsidR="009B0710" w:rsidRPr="002A624D">
          <w:rPr>
            <w:rStyle w:val="Hyperlink"/>
            <w:i/>
            <w:noProof/>
          </w:rPr>
          <w:t>Australia New Zealand Food Standards Code</w:t>
        </w:r>
        <w:r w:rsidR="009B0710">
          <w:rPr>
            <w:noProof/>
            <w:webHidden/>
          </w:rPr>
          <w:tab/>
        </w:r>
        <w:r w:rsidR="009B0710">
          <w:rPr>
            <w:noProof/>
            <w:webHidden/>
          </w:rPr>
          <w:fldChar w:fldCharType="begin"/>
        </w:r>
        <w:r w:rsidR="009B0710">
          <w:rPr>
            <w:noProof/>
            <w:webHidden/>
          </w:rPr>
          <w:instrText xml:space="preserve"> PAGEREF _Toc414615583 \h </w:instrText>
        </w:r>
        <w:r w:rsidR="009B0710">
          <w:rPr>
            <w:noProof/>
            <w:webHidden/>
          </w:rPr>
        </w:r>
        <w:r w:rsidR="009B0710">
          <w:rPr>
            <w:noProof/>
            <w:webHidden/>
          </w:rPr>
          <w:fldChar w:fldCharType="separate"/>
        </w:r>
        <w:r>
          <w:rPr>
            <w:noProof/>
            <w:webHidden/>
          </w:rPr>
          <w:t>18</w:t>
        </w:r>
        <w:r w:rsidR="009B0710">
          <w:rPr>
            <w:noProof/>
            <w:webHidden/>
          </w:rPr>
          <w:fldChar w:fldCharType="end"/>
        </w:r>
      </w:hyperlink>
    </w:p>
    <w:p w:rsidR="009B0710" w:rsidRDefault="0052439D">
      <w:pPr>
        <w:pStyle w:val="TOC2"/>
        <w:tabs>
          <w:tab w:val="right" w:leader="dot" w:pos="9016"/>
        </w:tabs>
        <w:rPr>
          <w:rFonts w:eastAsiaTheme="minorEastAsia" w:cstheme="minorBidi"/>
          <w:smallCaps w:val="0"/>
          <w:noProof/>
          <w:sz w:val="22"/>
          <w:szCs w:val="22"/>
          <w:lang w:val="en-NZ" w:eastAsia="en-NZ" w:bidi="ar-SA"/>
        </w:rPr>
      </w:pPr>
      <w:hyperlink w:anchor="_Toc414615584" w:history="1">
        <w:r w:rsidR="009B0710" w:rsidRPr="002A624D">
          <w:rPr>
            <w:rStyle w:val="Hyperlink"/>
            <w:noProof/>
          </w:rPr>
          <w:t>Attachment B – Draft Explanatory Statements</w:t>
        </w:r>
        <w:r w:rsidR="009B0710">
          <w:rPr>
            <w:noProof/>
            <w:webHidden/>
          </w:rPr>
          <w:tab/>
        </w:r>
        <w:r w:rsidR="009B0710">
          <w:rPr>
            <w:noProof/>
            <w:webHidden/>
          </w:rPr>
          <w:fldChar w:fldCharType="begin"/>
        </w:r>
        <w:r w:rsidR="009B0710">
          <w:rPr>
            <w:noProof/>
            <w:webHidden/>
          </w:rPr>
          <w:instrText xml:space="preserve"> PAGEREF _Toc414615584 \h </w:instrText>
        </w:r>
        <w:r w:rsidR="009B0710">
          <w:rPr>
            <w:noProof/>
            <w:webHidden/>
          </w:rPr>
        </w:r>
        <w:r w:rsidR="009B0710">
          <w:rPr>
            <w:noProof/>
            <w:webHidden/>
          </w:rPr>
          <w:fldChar w:fldCharType="separate"/>
        </w:r>
        <w:r>
          <w:rPr>
            <w:noProof/>
            <w:webHidden/>
          </w:rPr>
          <w:t>22</w:t>
        </w:r>
        <w:r w:rsidR="009B0710">
          <w:rPr>
            <w:noProof/>
            <w:webHidden/>
          </w:rPr>
          <w:fldChar w:fldCharType="end"/>
        </w:r>
      </w:hyperlink>
    </w:p>
    <w:p w:rsidR="009B0710" w:rsidRDefault="0052439D">
      <w:pPr>
        <w:pStyle w:val="TOC2"/>
        <w:tabs>
          <w:tab w:val="right" w:leader="dot" w:pos="9016"/>
        </w:tabs>
        <w:rPr>
          <w:rFonts w:eastAsiaTheme="minorEastAsia" w:cstheme="minorBidi"/>
          <w:smallCaps w:val="0"/>
          <w:noProof/>
          <w:sz w:val="22"/>
          <w:szCs w:val="22"/>
          <w:lang w:val="en-NZ" w:eastAsia="en-NZ" w:bidi="ar-SA"/>
        </w:rPr>
      </w:pPr>
      <w:hyperlink w:anchor="_Toc414615585" w:history="1">
        <w:r w:rsidR="009B0710" w:rsidRPr="002A624D">
          <w:rPr>
            <w:rStyle w:val="Hyperlink"/>
            <w:noProof/>
          </w:rPr>
          <w:t xml:space="preserve">Attachment C – Draft variations to the </w:t>
        </w:r>
        <w:r w:rsidR="009B0710" w:rsidRPr="002A624D">
          <w:rPr>
            <w:rStyle w:val="Hyperlink"/>
            <w:i/>
            <w:noProof/>
          </w:rPr>
          <w:t xml:space="preserve">Australia New Zealand Food Standards Code </w:t>
        </w:r>
        <w:r w:rsidR="009B0710" w:rsidRPr="002A624D">
          <w:rPr>
            <w:rStyle w:val="Hyperlink"/>
            <w:noProof/>
          </w:rPr>
          <w:t>(from 1 March 2016)</w:t>
        </w:r>
        <w:r w:rsidR="009B0710">
          <w:rPr>
            <w:noProof/>
            <w:webHidden/>
          </w:rPr>
          <w:tab/>
        </w:r>
        <w:r w:rsidR="009B0710">
          <w:rPr>
            <w:noProof/>
            <w:webHidden/>
          </w:rPr>
          <w:fldChar w:fldCharType="begin"/>
        </w:r>
        <w:r w:rsidR="009B0710">
          <w:rPr>
            <w:noProof/>
            <w:webHidden/>
          </w:rPr>
          <w:instrText xml:space="preserve"> PAGEREF _Toc414615585 \h </w:instrText>
        </w:r>
        <w:r w:rsidR="009B0710">
          <w:rPr>
            <w:noProof/>
            <w:webHidden/>
          </w:rPr>
        </w:r>
        <w:r w:rsidR="009B0710">
          <w:rPr>
            <w:noProof/>
            <w:webHidden/>
          </w:rPr>
          <w:fldChar w:fldCharType="separate"/>
        </w:r>
        <w:r>
          <w:rPr>
            <w:noProof/>
            <w:webHidden/>
          </w:rPr>
          <w:t>26</w:t>
        </w:r>
        <w:r w:rsidR="009B0710">
          <w:rPr>
            <w:noProof/>
            <w:webHidden/>
          </w:rPr>
          <w:fldChar w:fldCharType="end"/>
        </w:r>
      </w:hyperlink>
    </w:p>
    <w:p w:rsidR="009B0710" w:rsidRDefault="0052439D">
      <w:pPr>
        <w:pStyle w:val="TOC2"/>
        <w:tabs>
          <w:tab w:val="right" w:leader="dot" w:pos="9016"/>
        </w:tabs>
        <w:rPr>
          <w:rFonts w:eastAsiaTheme="minorEastAsia" w:cstheme="minorBidi"/>
          <w:smallCaps w:val="0"/>
          <w:noProof/>
          <w:sz w:val="22"/>
          <w:szCs w:val="22"/>
          <w:lang w:val="en-NZ" w:eastAsia="en-NZ" w:bidi="ar-SA"/>
        </w:rPr>
      </w:pPr>
      <w:hyperlink w:anchor="_Toc414615586" w:history="1">
        <w:r w:rsidR="009B0710" w:rsidRPr="002A624D">
          <w:rPr>
            <w:rStyle w:val="Hyperlink"/>
            <w:noProof/>
          </w:rPr>
          <w:t>Attachment D – Draft Explanatory Statements</w:t>
        </w:r>
        <w:r w:rsidR="009B0710">
          <w:rPr>
            <w:noProof/>
            <w:webHidden/>
          </w:rPr>
          <w:tab/>
        </w:r>
        <w:r w:rsidR="009B0710">
          <w:rPr>
            <w:noProof/>
            <w:webHidden/>
          </w:rPr>
          <w:fldChar w:fldCharType="begin"/>
        </w:r>
        <w:r w:rsidR="009B0710">
          <w:rPr>
            <w:noProof/>
            <w:webHidden/>
          </w:rPr>
          <w:instrText xml:space="preserve"> PAGEREF _Toc414615586 \h </w:instrText>
        </w:r>
        <w:r w:rsidR="009B0710">
          <w:rPr>
            <w:noProof/>
            <w:webHidden/>
          </w:rPr>
        </w:r>
        <w:r w:rsidR="009B0710">
          <w:rPr>
            <w:noProof/>
            <w:webHidden/>
          </w:rPr>
          <w:fldChar w:fldCharType="separate"/>
        </w:r>
        <w:r>
          <w:rPr>
            <w:noProof/>
            <w:webHidden/>
          </w:rPr>
          <w:t>31</w:t>
        </w:r>
        <w:r w:rsidR="009B0710">
          <w:rPr>
            <w:noProof/>
            <w:webHidden/>
          </w:rPr>
          <w:fldChar w:fldCharType="end"/>
        </w:r>
      </w:hyperlink>
    </w:p>
    <w:p w:rsidR="00D73931" w:rsidRPr="00E203C2" w:rsidRDefault="00567F0E" w:rsidP="00C47340">
      <w:r>
        <w:rPr>
          <w:rFonts w:cs="Arial"/>
          <w:b/>
          <w:bCs/>
          <w:caps/>
          <w:sz w:val="20"/>
          <w:szCs w:val="20"/>
        </w:rPr>
        <w:fldChar w:fldCharType="end"/>
      </w:r>
    </w:p>
    <w:p w:rsidR="009B0710" w:rsidRDefault="009B0710" w:rsidP="00772BDC">
      <w:pPr>
        <w:sectPr w:rsidR="009B0710" w:rsidSect="0008451B">
          <w:headerReference w:type="default" r:id="rId19"/>
          <w:footerReference w:type="default" r:id="rId20"/>
          <w:pgSz w:w="11906" w:h="16838"/>
          <w:pgMar w:top="1440" w:right="1440" w:bottom="1440" w:left="1440" w:header="708" w:footer="708" w:gutter="0"/>
          <w:pgNumType w:start="1"/>
          <w:cols w:space="708"/>
          <w:docGrid w:linePitch="360"/>
        </w:sectPr>
      </w:pPr>
    </w:p>
    <w:p w:rsidR="00E063C6" w:rsidRDefault="00F33BB8" w:rsidP="000A5DF8">
      <w:pPr>
        <w:pStyle w:val="Heading1"/>
      </w:pPr>
      <w:bookmarkStart w:id="0" w:name="_Toc286391001"/>
      <w:bookmarkStart w:id="1" w:name="_Toc300933414"/>
      <w:bookmarkStart w:id="2" w:name="_Toc414615566"/>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rsidR="00D73931" w:rsidRDefault="00013B10" w:rsidP="00D73931">
      <w:pPr>
        <w:rPr>
          <w:lang w:bidi="ar-SA"/>
        </w:rPr>
      </w:pPr>
      <w:r>
        <w:rPr>
          <w:lang w:bidi="ar-SA"/>
        </w:rPr>
        <w:t>FSANZ has assessed an A</w:t>
      </w:r>
      <w:r w:rsidR="00A224C4">
        <w:rPr>
          <w:lang w:bidi="ar-SA"/>
        </w:rPr>
        <w:t xml:space="preserve">pplication from the Australian Food and Grocery Council requesting a </w:t>
      </w:r>
      <w:r w:rsidR="00A224C4" w:rsidRPr="00A224C4">
        <w:rPr>
          <w:lang w:bidi="ar-SA"/>
        </w:rPr>
        <w:t xml:space="preserve">delay </w:t>
      </w:r>
      <w:r w:rsidR="00A224C4">
        <w:rPr>
          <w:lang w:bidi="ar-SA"/>
        </w:rPr>
        <w:t xml:space="preserve">in </w:t>
      </w:r>
      <w:r w:rsidR="00A224C4" w:rsidRPr="00A224C4">
        <w:rPr>
          <w:lang w:bidi="ar-SA"/>
        </w:rPr>
        <w:t xml:space="preserve">the </w:t>
      </w:r>
      <w:r w:rsidR="001B2DB1">
        <w:rPr>
          <w:lang w:bidi="ar-SA"/>
        </w:rPr>
        <w:t xml:space="preserve">requirement to comply with the qualifying </w:t>
      </w:r>
      <w:r w:rsidR="00332532">
        <w:rPr>
          <w:lang w:bidi="ar-SA"/>
        </w:rPr>
        <w:t xml:space="preserve">criteria for nutrition content claims about dietary fibre </w:t>
      </w:r>
      <w:r w:rsidR="00A224C4" w:rsidRPr="00A224C4">
        <w:rPr>
          <w:lang w:bidi="ar-SA"/>
        </w:rPr>
        <w:t>in Standard 1.2.7 – Nutrition, Health and Related Claims</w:t>
      </w:r>
      <w:r w:rsidR="000D7630">
        <w:rPr>
          <w:lang w:bidi="ar-SA"/>
        </w:rPr>
        <w:t xml:space="preserve"> of the </w:t>
      </w:r>
      <w:r w:rsidR="000D7630" w:rsidRPr="000D7630">
        <w:rPr>
          <w:i/>
          <w:lang w:bidi="ar-SA"/>
        </w:rPr>
        <w:t>Australia New Zealand Food Standards Code</w:t>
      </w:r>
      <w:r w:rsidR="00A224C4" w:rsidRPr="00A224C4">
        <w:rPr>
          <w:lang w:bidi="ar-SA"/>
        </w:rPr>
        <w:t xml:space="preserve"> </w:t>
      </w:r>
      <w:r w:rsidR="001B2DB1">
        <w:rPr>
          <w:lang w:bidi="ar-SA"/>
        </w:rPr>
        <w:t xml:space="preserve">for 12 months, </w:t>
      </w:r>
      <w:r w:rsidR="00A224C4" w:rsidRPr="00A224C4">
        <w:rPr>
          <w:lang w:bidi="ar-SA"/>
        </w:rPr>
        <w:t xml:space="preserve">from </w:t>
      </w:r>
      <w:r w:rsidR="00106D4A">
        <w:rPr>
          <w:lang w:bidi="ar-SA"/>
        </w:rPr>
        <w:t xml:space="preserve">and including </w:t>
      </w:r>
      <w:r w:rsidR="00A224C4" w:rsidRPr="00A224C4">
        <w:rPr>
          <w:lang w:bidi="ar-SA"/>
        </w:rPr>
        <w:t>18 January 2016</w:t>
      </w:r>
      <w:r w:rsidR="00BF2A53">
        <w:rPr>
          <w:lang w:bidi="ar-SA"/>
        </w:rPr>
        <w:t>,</w:t>
      </w:r>
      <w:r w:rsidR="00A224C4" w:rsidRPr="00A224C4">
        <w:rPr>
          <w:lang w:bidi="ar-SA"/>
        </w:rPr>
        <w:t xml:space="preserve"> </w:t>
      </w:r>
      <w:r w:rsidR="006F28DC">
        <w:rPr>
          <w:lang w:bidi="ar-SA"/>
        </w:rPr>
        <w:t>until and including</w:t>
      </w:r>
      <w:r w:rsidR="00BF2A53">
        <w:rPr>
          <w:lang w:bidi="ar-SA"/>
        </w:rPr>
        <w:t>,</w:t>
      </w:r>
      <w:r w:rsidR="006F28DC">
        <w:rPr>
          <w:lang w:bidi="ar-SA"/>
        </w:rPr>
        <w:t xml:space="preserve"> 17</w:t>
      </w:r>
      <w:r w:rsidR="00A224C4" w:rsidRPr="00A224C4">
        <w:rPr>
          <w:lang w:bidi="ar-SA"/>
        </w:rPr>
        <w:t xml:space="preserve"> January 2017</w:t>
      </w:r>
      <w:r w:rsidR="00A224C4">
        <w:rPr>
          <w:lang w:bidi="ar-SA"/>
        </w:rPr>
        <w:t>.</w:t>
      </w:r>
    </w:p>
    <w:p w:rsidR="00A224C4" w:rsidRDefault="00A224C4" w:rsidP="00D73931">
      <w:pPr>
        <w:rPr>
          <w:lang w:bidi="ar-SA"/>
        </w:rPr>
      </w:pPr>
    </w:p>
    <w:p w:rsidR="00EA496C" w:rsidRPr="004C2E00" w:rsidRDefault="001B2AA9" w:rsidP="00D73931">
      <w:pPr>
        <w:rPr>
          <w:rFonts w:cs="Arial"/>
          <w:szCs w:val="22"/>
        </w:rPr>
      </w:pPr>
      <w:r w:rsidRPr="00D7795B">
        <w:rPr>
          <w:lang w:bidi="ar-SA"/>
        </w:rPr>
        <w:t>Standard 1.2.7 was gazetted in January 2013 with a three-year transition period</w:t>
      </w:r>
      <w:r w:rsidR="00357B75">
        <w:rPr>
          <w:lang w:bidi="ar-SA"/>
        </w:rPr>
        <w:t xml:space="preserve">. </w:t>
      </w:r>
      <w:r w:rsidR="00EA496C">
        <w:rPr>
          <w:lang w:bidi="ar-SA"/>
        </w:rPr>
        <w:t>It</w:t>
      </w:r>
      <w:r w:rsidR="00357B75">
        <w:rPr>
          <w:lang w:bidi="ar-SA"/>
        </w:rPr>
        <w:t xml:space="preserve"> </w:t>
      </w:r>
      <w:r w:rsidR="00EA496C">
        <w:rPr>
          <w:lang w:bidi="ar-SA"/>
        </w:rPr>
        <w:t>imposed</w:t>
      </w:r>
      <w:r w:rsidR="00357B75">
        <w:rPr>
          <w:lang w:bidi="ar-SA"/>
        </w:rPr>
        <w:t xml:space="preserve"> qualifying criteria for nutrition content claims about dietary fibre. FSANZ a</w:t>
      </w:r>
      <w:r w:rsidR="00EA496C">
        <w:rPr>
          <w:lang w:bidi="ar-SA"/>
        </w:rPr>
        <w:t xml:space="preserve">greed to </w:t>
      </w:r>
      <w:r w:rsidR="00A26250">
        <w:rPr>
          <w:lang w:bidi="ar-SA"/>
        </w:rPr>
        <w:t>reconsider</w:t>
      </w:r>
      <w:r w:rsidR="00EA496C">
        <w:rPr>
          <w:lang w:bidi="ar-SA"/>
        </w:rPr>
        <w:t xml:space="preserve"> these</w:t>
      </w:r>
      <w:r w:rsidR="00357B75">
        <w:rPr>
          <w:lang w:bidi="ar-SA"/>
        </w:rPr>
        <w:t xml:space="preserve"> criteria</w:t>
      </w:r>
      <w:r w:rsidR="009D716F">
        <w:rPr>
          <w:lang w:bidi="ar-SA"/>
        </w:rPr>
        <w:t xml:space="preserve"> in 2013</w:t>
      </w:r>
      <w:r w:rsidR="00357B75">
        <w:rPr>
          <w:lang w:bidi="ar-SA"/>
        </w:rPr>
        <w:t xml:space="preserve"> </w:t>
      </w:r>
      <w:r w:rsidR="00EA496C">
        <w:rPr>
          <w:lang w:bidi="ar-SA"/>
        </w:rPr>
        <w:t>following</w:t>
      </w:r>
      <w:r w:rsidR="00357B75">
        <w:rPr>
          <w:lang w:bidi="ar-SA"/>
        </w:rPr>
        <w:t xml:space="preserve"> industry concern that </w:t>
      </w:r>
      <w:r w:rsidR="00EA496C">
        <w:rPr>
          <w:lang w:bidi="ar-SA"/>
        </w:rPr>
        <w:t xml:space="preserve">they </w:t>
      </w:r>
      <w:r w:rsidR="0096636D">
        <w:rPr>
          <w:lang w:bidi="ar-SA"/>
        </w:rPr>
        <w:t xml:space="preserve">would </w:t>
      </w:r>
      <w:r w:rsidR="00EA496C">
        <w:rPr>
          <w:lang w:bidi="ar-SA"/>
        </w:rPr>
        <w:t xml:space="preserve">adversely </w:t>
      </w:r>
      <w:r w:rsidR="0096636D">
        <w:rPr>
          <w:lang w:bidi="ar-SA"/>
        </w:rPr>
        <w:t xml:space="preserve">affect </w:t>
      </w:r>
      <w:r w:rsidR="00357B75">
        <w:rPr>
          <w:lang w:bidi="ar-SA"/>
        </w:rPr>
        <w:t xml:space="preserve">industry’s </w:t>
      </w:r>
      <w:r w:rsidR="0096636D">
        <w:rPr>
          <w:lang w:bidi="ar-SA"/>
        </w:rPr>
        <w:t xml:space="preserve">ability to make </w:t>
      </w:r>
      <w:r w:rsidR="004C2E00">
        <w:rPr>
          <w:lang w:bidi="ar-SA"/>
        </w:rPr>
        <w:t xml:space="preserve">nutrition content </w:t>
      </w:r>
      <w:r w:rsidR="0096636D">
        <w:rPr>
          <w:lang w:bidi="ar-SA"/>
        </w:rPr>
        <w:t>claims</w:t>
      </w:r>
      <w:r w:rsidR="004C2E00">
        <w:rPr>
          <w:lang w:bidi="ar-SA"/>
        </w:rPr>
        <w:t xml:space="preserve"> about dietary fibre</w:t>
      </w:r>
      <w:r w:rsidR="0096636D">
        <w:rPr>
          <w:lang w:bidi="ar-SA"/>
        </w:rPr>
        <w:t xml:space="preserve">. </w:t>
      </w:r>
      <w:r w:rsidR="00EA496C" w:rsidRPr="004C2E00">
        <w:rPr>
          <w:rFonts w:cs="Arial"/>
          <w:szCs w:val="22"/>
        </w:rPr>
        <w:t xml:space="preserve">Some food businesses </w:t>
      </w:r>
      <w:r>
        <w:rPr>
          <w:rFonts w:cs="Arial"/>
          <w:szCs w:val="22"/>
        </w:rPr>
        <w:t xml:space="preserve">then </w:t>
      </w:r>
      <w:r w:rsidR="00EA496C">
        <w:rPr>
          <w:rFonts w:cs="Arial"/>
          <w:szCs w:val="22"/>
        </w:rPr>
        <w:t>elected</w:t>
      </w:r>
      <w:r w:rsidR="00EA496C" w:rsidRPr="004C2E00">
        <w:rPr>
          <w:rFonts w:cs="Arial"/>
          <w:szCs w:val="22"/>
        </w:rPr>
        <w:t xml:space="preserve"> to wait until </w:t>
      </w:r>
      <w:r w:rsidR="004811A0">
        <w:rPr>
          <w:rFonts w:cs="Arial"/>
          <w:szCs w:val="22"/>
        </w:rPr>
        <w:t xml:space="preserve">this </w:t>
      </w:r>
      <w:r w:rsidR="00A26250">
        <w:rPr>
          <w:rFonts w:cs="Arial"/>
          <w:szCs w:val="22"/>
        </w:rPr>
        <w:t>work</w:t>
      </w:r>
      <w:r w:rsidR="00EA496C" w:rsidRPr="004C2E00">
        <w:rPr>
          <w:rFonts w:cs="Arial"/>
          <w:szCs w:val="22"/>
        </w:rPr>
        <w:t xml:space="preserve"> was comple</w:t>
      </w:r>
      <w:r w:rsidR="00C6078E">
        <w:rPr>
          <w:rFonts w:cs="Arial"/>
          <w:szCs w:val="22"/>
        </w:rPr>
        <w:t>ted rather than proceeding with</w:t>
      </w:r>
      <w:r w:rsidR="00EA496C">
        <w:rPr>
          <w:rFonts w:cs="Arial"/>
          <w:szCs w:val="22"/>
        </w:rPr>
        <w:t xml:space="preserve"> </w:t>
      </w:r>
      <w:r w:rsidR="00EA496C" w:rsidRPr="004C2E00">
        <w:rPr>
          <w:rFonts w:cs="Arial"/>
          <w:szCs w:val="22"/>
        </w:rPr>
        <w:t>labelling and</w:t>
      </w:r>
      <w:r w:rsidR="004C2E00">
        <w:rPr>
          <w:rFonts w:cs="Arial"/>
          <w:szCs w:val="22"/>
        </w:rPr>
        <w:t>/or</w:t>
      </w:r>
      <w:r w:rsidR="00EA496C" w:rsidRPr="004C2E00">
        <w:rPr>
          <w:rFonts w:cs="Arial"/>
          <w:szCs w:val="22"/>
        </w:rPr>
        <w:t xml:space="preserve"> formulation changes require</w:t>
      </w:r>
      <w:r w:rsidR="00EA496C" w:rsidRPr="00EA496C">
        <w:rPr>
          <w:rFonts w:cs="Arial"/>
          <w:szCs w:val="22"/>
        </w:rPr>
        <w:t xml:space="preserve">d </w:t>
      </w:r>
      <w:r w:rsidR="001E3CFC">
        <w:rPr>
          <w:rFonts w:cs="Arial"/>
          <w:szCs w:val="22"/>
        </w:rPr>
        <w:t>for compliance</w:t>
      </w:r>
      <w:r w:rsidR="00EA496C" w:rsidRPr="004C2E00">
        <w:rPr>
          <w:rFonts w:cs="Arial"/>
          <w:szCs w:val="22"/>
        </w:rPr>
        <w:t xml:space="preserve"> with the qualifying criteria. Other businesses elected to procee</w:t>
      </w:r>
      <w:r w:rsidR="00A26250">
        <w:rPr>
          <w:rFonts w:cs="Arial"/>
          <w:szCs w:val="22"/>
        </w:rPr>
        <w:t>d with these changes before the</w:t>
      </w:r>
      <w:r w:rsidR="00EA496C" w:rsidRPr="004C2E00">
        <w:rPr>
          <w:rFonts w:cs="Arial"/>
          <w:szCs w:val="22"/>
        </w:rPr>
        <w:t xml:space="preserve"> outcome was known.</w:t>
      </w:r>
      <w:r w:rsidR="00EA496C">
        <w:rPr>
          <w:rFonts w:cs="Arial"/>
          <w:szCs w:val="22"/>
        </w:rPr>
        <w:t xml:space="preserve"> </w:t>
      </w:r>
      <w:r w:rsidR="00EA496C">
        <w:rPr>
          <w:lang w:bidi="ar-SA"/>
        </w:rPr>
        <w:t>After public consultation, FSANZ decided to maintain the qualifying criteria in Standard 1.2.7 and notified stakeholders of this decision in December 2013.</w:t>
      </w:r>
    </w:p>
    <w:p w:rsidR="00EA496C" w:rsidRPr="004C2E00" w:rsidRDefault="00EA496C" w:rsidP="00D73931">
      <w:pPr>
        <w:rPr>
          <w:rFonts w:cs="Arial"/>
          <w:szCs w:val="22"/>
        </w:rPr>
      </w:pPr>
    </w:p>
    <w:p w:rsidR="00F76B45" w:rsidRDefault="00EA496C" w:rsidP="00D73931">
      <w:pPr>
        <w:rPr>
          <w:lang w:bidi="ar-SA"/>
        </w:rPr>
      </w:pPr>
      <w:r w:rsidRPr="004C2E00">
        <w:rPr>
          <w:rFonts w:cs="Arial"/>
          <w:szCs w:val="22"/>
        </w:rPr>
        <w:t>T</w:t>
      </w:r>
      <w:r w:rsidR="0096636D" w:rsidRPr="00EA496C">
        <w:rPr>
          <w:szCs w:val="22"/>
          <w:lang w:bidi="ar-SA"/>
        </w:rPr>
        <w:t>h</w:t>
      </w:r>
      <w:r w:rsidR="0096636D">
        <w:rPr>
          <w:lang w:bidi="ar-SA"/>
        </w:rPr>
        <w:t>e Applicant asserts that</w:t>
      </w:r>
      <w:r>
        <w:rPr>
          <w:lang w:bidi="ar-SA"/>
        </w:rPr>
        <w:t>,</w:t>
      </w:r>
      <w:r w:rsidR="0096636D">
        <w:rPr>
          <w:lang w:bidi="ar-SA"/>
        </w:rPr>
        <w:t xml:space="preserve"> as FSANZ’s decision </w:t>
      </w:r>
      <w:r>
        <w:rPr>
          <w:lang w:bidi="ar-SA"/>
        </w:rPr>
        <w:t xml:space="preserve">on the qualifying criteria </w:t>
      </w:r>
      <w:r w:rsidR="0096636D">
        <w:rPr>
          <w:lang w:bidi="ar-SA"/>
        </w:rPr>
        <w:t>w</w:t>
      </w:r>
      <w:r w:rsidR="009437E1">
        <w:rPr>
          <w:lang w:bidi="ar-SA"/>
        </w:rPr>
        <w:t>as not made until late 2013,</w:t>
      </w:r>
      <w:r w:rsidR="00E9092E">
        <w:rPr>
          <w:lang w:bidi="ar-SA"/>
        </w:rPr>
        <w:t xml:space="preserve"> 11 months after the gazettal of Standard 1.2.7,</w:t>
      </w:r>
      <w:r w:rsidR="0096636D">
        <w:rPr>
          <w:lang w:bidi="ar-SA"/>
        </w:rPr>
        <w:t xml:space="preserve"> the transition period </w:t>
      </w:r>
      <w:r>
        <w:rPr>
          <w:lang w:bidi="ar-SA"/>
        </w:rPr>
        <w:t xml:space="preserve">available </w:t>
      </w:r>
      <w:r w:rsidR="0096636D">
        <w:rPr>
          <w:lang w:bidi="ar-SA"/>
        </w:rPr>
        <w:t>for nutrition content claims about dietary fibre was effectively shortened by 11 months.</w:t>
      </w:r>
    </w:p>
    <w:p w:rsidR="0096636D" w:rsidRDefault="0096636D" w:rsidP="00D73931">
      <w:pPr>
        <w:rPr>
          <w:lang w:bidi="ar-SA"/>
        </w:rPr>
      </w:pPr>
    </w:p>
    <w:p w:rsidR="00A224C4" w:rsidRDefault="00EA496C" w:rsidP="00D73931">
      <w:pPr>
        <w:rPr>
          <w:lang w:bidi="ar-SA"/>
        </w:rPr>
      </w:pPr>
      <w:r>
        <w:rPr>
          <w:lang w:bidi="ar-SA"/>
        </w:rPr>
        <w:t xml:space="preserve">After accepting the Application, </w:t>
      </w:r>
      <w:r w:rsidR="0096636D">
        <w:rPr>
          <w:lang w:bidi="ar-SA"/>
        </w:rPr>
        <w:t>FSANZ undertook a</w:t>
      </w:r>
      <w:r w:rsidR="004A66C1">
        <w:rPr>
          <w:lang w:bidi="ar-SA"/>
        </w:rPr>
        <w:t>n initial round of</w:t>
      </w:r>
      <w:r w:rsidR="0096636D">
        <w:rPr>
          <w:lang w:bidi="ar-SA"/>
        </w:rPr>
        <w:t xml:space="preserve"> public consultation</w:t>
      </w:r>
      <w:r w:rsidR="00942886">
        <w:rPr>
          <w:lang w:bidi="ar-SA"/>
        </w:rPr>
        <w:t xml:space="preserve"> in October 2014</w:t>
      </w:r>
      <w:r w:rsidR="0096636D">
        <w:rPr>
          <w:lang w:bidi="ar-SA"/>
        </w:rPr>
        <w:t xml:space="preserve"> to gather cost-benefit information and seek stakeholder views to inform the assessment of the Application</w:t>
      </w:r>
      <w:r w:rsidR="00942886">
        <w:rPr>
          <w:lang w:bidi="ar-SA"/>
        </w:rPr>
        <w:t xml:space="preserve">. Submissions were received from 10 stakeholders, with three providing cost data. </w:t>
      </w:r>
      <w:r w:rsidR="004A66C1">
        <w:rPr>
          <w:lang w:bidi="ar-SA"/>
        </w:rPr>
        <w:t>F</w:t>
      </w:r>
      <w:r w:rsidR="00942886">
        <w:rPr>
          <w:lang w:bidi="ar-SA"/>
        </w:rPr>
        <w:t>rom the information available</w:t>
      </w:r>
      <w:r w:rsidR="00013B10">
        <w:rPr>
          <w:lang w:bidi="ar-SA"/>
        </w:rPr>
        <w:t>,</w:t>
      </w:r>
      <w:r w:rsidR="00942886">
        <w:rPr>
          <w:lang w:bidi="ar-SA"/>
        </w:rPr>
        <w:t xml:space="preserve"> </w:t>
      </w:r>
      <w:r w:rsidR="004A66C1">
        <w:rPr>
          <w:lang w:bidi="ar-SA"/>
        </w:rPr>
        <w:t xml:space="preserve">it appears that for </w:t>
      </w:r>
      <w:r w:rsidR="00942886">
        <w:rPr>
          <w:lang w:bidi="ar-SA"/>
        </w:rPr>
        <w:t xml:space="preserve">those food businesses </w:t>
      </w:r>
      <w:r w:rsidR="001E3CFC">
        <w:rPr>
          <w:lang w:bidi="ar-SA"/>
        </w:rPr>
        <w:t>that delayed</w:t>
      </w:r>
      <w:r w:rsidR="00942886">
        <w:rPr>
          <w:lang w:bidi="ar-SA"/>
        </w:rPr>
        <w:t xml:space="preserve"> transitioning to the requirements for nutrition content claims about dietary fibre in Standard 1.2.7 </w:t>
      </w:r>
      <w:r w:rsidR="005D30A8">
        <w:rPr>
          <w:lang w:bidi="ar-SA"/>
        </w:rPr>
        <w:t>pending</w:t>
      </w:r>
      <w:r w:rsidR="00942886">
        <w:rPr>
          <w:lang w:bidi="ar-SA"/>
        </w:rPr>
        <w:t xml:space="preserve"> </w:t>
      </w:r>
      <w:r w:rsidR="00C6078E">
        <w:rPr>
          <w:lang w:bidi="ar-SA"/>
        </w:rPr>
        <w:t xml:space="preserve">the </w:t>
      </w:r>
      <w:r w:rsidR="00942886">
        <w:rPr>
          <w:lang w:bidi="ar-SA"/>
        </w:rPr>
        <w:t xml:space="preserve">FSANZ </w:t>
      </w:r>
      <w:r w:rsidR="00A26250">
        <w:rPr>
          <w:lang w:bidi="ar-SA"/>
        </w:rPr>
        <w:t>consideration</w:t>
      </w:r>
      <w:r w:rsidR="005D30A8">
        <w:rPr>
          <w:lang w:bidi="ar-SA"/>
        </w:rPr>
        <w:t xml:space="preserve"> </w:t>
      </w:r>
      <w:r w:rsidR="00942886">
        <w:rPr>
          <w:lang w:bidi="ar-SA"/>
        </w:rPr>
        <w:t xml:space="preserve">of the qualifying criteria in 2013, compliance costs </w:t>
      </w:r>
      <w:r w:rsidR="004A66C1">
        <w:rPr>
          <w:lang w:bidi="ar-SA"/>
        </w:rPr>
        <w:t xml:space="preserve">could be minimised </w:t>
      </w:r>
      <w:r w:rsidR="00013B10">
        <w:rPr>
          <w:lang w:bidi="ar-SA"/>
        </w:rPr>
        <w:t xml:space="preserve">if </w:t>
      </w:r>
      <w:r w:rsidR="00942886">
        <w:rPr>
          <w:lang w:bidi="ar-SA"/>
        </w:rPr>
        <w:t xml:space="preserve">the </w:t>
      </w:r>
      <w:r w:rsidR="001E3CFC">
        <w:rPr>
          <w:lang w:bidi="ar-SA"/>
        </w:rPr>
        <w:t xml:space="preserve">end of the </w:t>
      </w:r>
      <w:r w:rsidR="00942886">
        <w:rPr>
          <w:lang w:bidi="ar-SA"/>
        </w:rPr>
        <w:t xml:space="preserve">transition period </w:t>
      </w:r>
      <w:r w:rsidR="00013B10">
        <w:rPr>
          <w:lang w:bidi="ar-SA"/>
        </w:rPr>
        <w:t>was</w:t>
      </w:r>
      <w:r w:rsidR="001E3CFC">
        <w:rPr>
          <w:lang w:bidi="ar-SA"/>
        </w:rPr>
        <w:t xml:space="preserve"> delayed</w:t>
      </w:r>
      <w:r w:rsidR="00013B10">
        <w:rPr>
          <w:lang w:bidi="ar-SA"/>
        </w:rPr>
        <w:t xml:space="preserve"> for 12 months</w:t>
      </w:r>
      <w:r w:rsidR="00942886">
        <w:rPr>
          <w:lang w:bidi="ar-SA"/>
        </w:rPr>
        <w:t xml:space="preserve">. There was no opposition to the proposed </w:t>
      </w:r>
      <w:r w:rsidR="001E3CFC">
        <w:rPr>
          <w:lang w:bidi="ar-SA"/>
        </w:rPr>
        <w:t>delay</w:t>
      </w:r>
      <w:r w:rsidR="00942886">
        <w:rPr>
          <w:lang w:bidi="ar-SA"/>
        </w:rPr>
        <w:t xml:space="preserve"> from </w:t>
      </w:r>
      <w:r w:rsidR="004A66C1">
        <w:rPr>
          <w:lang w:bidi="ar-SA"/>
        </w:rPr>
        <w:t xml:space="preserve">the </w:t>
      </w:r>
      <w:r w:rsidR="00CE56CC">
        <w:rPr>
          <w:lang w:bidi="ar-SA"/>
        </w:rPr>
        <w:t>five</w:t>
      </w:r>
      <w:r w:rsidR="004A66C1">
        <w:rPr>
          <w:lang w:bidi="ar-SA"/>
        </w:rPr>
        <w:t xml:space="preserve"> </w:t>
      </w:r>
      <w:r w:rsidR="00942886">
        <w:rPr>
          <w:lang w:bidi="ar-SA"/>
        </w:rPr>
        <w:t xml:space="preserve">industry submitters. </w:t>
      </w:r>
      <w:r w:rsidR="005B685B">
        <w:rPr>
          <w:lang w:bidi="ar-SA"/>
        </w:rPr>
        <w:t xml:space="preserve">A further </w:t>
      </w:r>
      <w:r w:rsidR="00CE56CC">
        <w:rPr>
          <w:lang w:bidi="ar-SA"/>
        </w:rPr>
        <w:t>two</w:t>
      </w:r>
      <w:r w:rsidR="005B685B">
        <w:rPr>
          <w:lang w:bidi="ar-SA"/>
        </w:rPr>
        <w:t xml:space="preserve"> submitters also supported the proposed delay. </w:t>
      </w:r>
      <w:r w:rsidR="00942886">
        <w:rPr>
          <w:lang w:bidi="ar-SA"/>
        </w:rPr>
        <w:t xml:space="preserve">Three submitters did not support the delay stating that they considered two years from December 2013 was sufficient time for food businesses to make labelling and/or product changes. </w:t>
      </w:r>
    </w:p>
    <w:p w:rsidR="00196896" w:rsidRDefault="00196896" w:rsidP="00D73931">
      <w:pPr>
        <w:rPr>
          <w:lang w:bidi="ar-SA"/>
        </w:rPr>
      </w:pPr>
    </w:p>
    <w:p w:rsidR="00E1348F" w:rsidRPr="002D0911" w:rsidRDefault="004811A0" w:rsidP="00D73931">
      <w:pPr>
        <w:rPr>
          <w:szCs w:val="22"/>
          <w:lang w:val="en-AU" w:eastAsia="en-GB" w:bidi="ar-SA"/>
        </w:rPr>
      </w:pPr>
      <w:r>
        <w:rPr>
          <w:lang w:bidi="ar-SA"/>
        </w:rPr>
        <w:t>Clause 11 of Standard 1.2.7 imposes the requirement to comply with the qualifying criteria</w:t>
      </w:r>
      <w:r w:rsidR="00F73905">
        <w:rPr>
          <w:lang w:bidi="ar-SA"/>
        </w:rPr>
        <w:t xml:space="preserve"> for</w:t>
      </w:r>
      <w:r>
        <w:rPr>
          <w:lang w:bidi="ar-SA"/>
        </w:rPr>
        <w:t xml:space="preserve"> </w:t>
      </w:r>
      <w:r>
        <w:rPr>
          <w:rFonts w:cs="Arial"/>
        </w:rPr>
        <w:t>nutrition content claims about dietary fibre</w:t>
      </w:r>
      <w:r>
        <w:rPr>
          <w:lang w:bidi="ar-SA"/>
        </w:rPr>
        <w:t xml:space="preserve"> listed in Schedule 1 of that Standard. </w:t>
      </w:r>
      <w:r w:rsidR="0096636D">
        <w:rPr>
          <w:lang w:bidi="ar-SA"/>
        </w:rPr>
        <w:t xml:space="preserve">FSANZ </w:t>
      </w:r>
      <w:r w:rsidR="0008037E">
        <w:rPr>
          <w:lang w:bidi="ar-SA"/>
        </w:rPr>
        <w:t>is proposing</w:t>
      </w:r>
      <w:r w:rsidR="0096636D">
        <w:rPr>
          <w:lang w:bidi="ar-SA"/>
        </w:rPr>
        <w:t xml:space="preserve"> </w:t>
      </w:r>
      <w:r w:rsidR="0008037E">
        <w:rPr>
          <w:lang w:bidi="ar-SA"/>
        </w:rPr>
        <w:t xml:space="preserve">a new draft Standard </w:t>
      </w:r>
      <w:r w:rsidR="0008037E">
        <w:t>1.1A.8</w:t>
      </w:r>
      <w:r w:rsidR="0008037E" w:rsidRPr="00D250C9">
        <w:rPr>
          <w:sz w:val="20"/>
          <w:szCs w:val="20"/>
        </w:rPr>
        <w:t xml:space="preserve"> – </w:t>
      </w:r>
      <w:r w:rsidR="0008037E" w:rsidRPr="00D250C9">
        <w:rPr>
          <w:szCs w:val="22"/>
        </w:rPr>
        <w:t>Transitional Standard for Dietary Fibre Nutrition Content Claims</w:t>
      </w:r>
      <w:r w:rsidR="0008037E">
        <w:rPr>
          <w:lang w:bidi="ar-SA"/>
        </w:rPr>
        <w:t xml:space="preserve">, </w:t>
      </w:r>
      <w:r w:rsidR="0096636D">
        <w:rPr>
          <w:lang w:bidi="ar-SA"/>
        </w:rPr>
        <w:t>to delay</w:t>
      </w:r>
      <w:r w:rsidR="00A224C4">
        <w:rPr>
          <w:lang w:bidi="ar-SA"/>
        </w:rPr>
        <w:t xml:space="preserve"> the </w:t>
      </w:r>
      <w:r>
        <w:rPr>
          <w:lang w:bidi="ar-SA"/>
        </w:rPr>
        <w:t>requirement</w:t>
      </w:r>
      <w:r w:rsidR="002D0911">
        <w:rPr>
          <w:lang w:bidi="ar-SA"/>
        </w:rPr>
        <w:t xml:space="preserve"> </w:t>
      </w:r>
      <w:r w:rsidR="002D0911">
        <w:rPr>
          <w:rFonts w:cs="Arial"/>
        </w:rPr>
        <w:t>in clause 11</w:t>
      </w:r>
      <w:r>
        <w:rPr>
          <w:lang w:bidi="ar-SA"/>
        </w:rPr>
        <w:t xml:space="preserve"> </w:t>
      </w:r>
      <w:r w:rsidR="00C6078E">
        <w:rPr>
          <w:lang w:bidi="ar-SA"/>
        </w:rPr>
        <w:t xml:space="preserve">to comply with the qualifying criteria </w:t>
      </w:r>
      <w:r>
        <w:rPr>
          <w:lang w:bidi="ar-SA"/>
        </w:rPr>
        <w:t xml:space="preserve">for </w:t>
      </w:r>
      <w:r>
        <w:rPr>
          <w:rFonts w:cs="Arial"/>
        </w:rPr>
        <w:t>nutrition content claims about dietary fibre</w:t>
      </w:r>
      <w:r w:rsidR="00874B43">
        <w:rPr>
          <w:rStyle w:val="FootnoteReference"/>
          <w:lang w:bidi="ar-SA"/>
        </w:rPr>
        <w:footnoteReference w:id="1"/>
      </w:r>
      <w:r w:rsidR="001B2AA9">
        <w:rPr>
          <w:rFonts w:cs="Arial"/>
        </w:rPr>
        <w:t xml:space="preserve">. </w:t>
      </w:r>
      <w:r w:rsidR="0008037E">
        <w:rPr>
          <w:szCs w:val="22"/>
          <w:lang w:val="en-AU" w:eastAsia="en-GB" w:bidi="ar-SA"/>
        </w:rPr>
        <w:t>The transitional period established by draft Standard 1.1A.8 will commence on 18 January 2016 and continue until the Standard ceases to have effect on 1 March 2016, which is the date on which the revised Code takes effect.</w:t>
      </w:r>
      <w:r w:rsidR="002D0911">
        <w:rPr>
          <w:szCs w:val="22"/>
          <w:lang w:val="en-AU" w:eastAsia="en-GB" w:bidi="ar-SA"/>
        </w:rPr>
        <w:t xml:space="preserve"> </w:t>
      </w:r>
      <w:r w:rsidR="0008037E">
        <w:rPr>
          <w:szCs w:val="22"/>
          <w:lang w:val="en-AU" w:eastAsia="en-GB" w:bidi="ar-SA"/>
        </w:rPr>
        <w:t xml:space="preserve">The revised Code will </w:t>
      </w:r>
      <w:r w:rsidR="00E1348F">
        <w:rPr>
          <w:szCs w:val="22"/>
          <w:lang w:val="en-AU" w:eastAsia="en-GB" w:bidi="ar-SA"/>
        </w:rPr>
        <w:t xml:space="preserve">also </w:t>
      </w:r>
      <w:r w:rsidR="0008037E">
        <w:rPr>
          <w:szCs w:val="22"/>
          <w:lang w:val="en-AU" w:eastAsia="en-GB" w:bidi="ar-SA"/>
        </w:rPr>
        <w:t>be amended before that date</w:t>
      </w:r>
      <w:r w:rsidR="00BF2A53">
        <w:rPr>
          <w:szCs w:val="22"/>
          <w:lang w:val="en-AU" w:eastAsia="en-GB" w:bidi="ar-SA"/>
        </w:rPr>
        <w:t>,</w:t>
      </w:r>
      <w:r w:rsidR="0008037E">
        <w:rPr>
          <w:szCs w:val="22"/>
          <w:lang w:val="en-AU" w:eastAsia="en-GB" w:bidi="ar-SA"/>
        </w:rPr>
        <w:t xml:space="preserve"> so that the revised Code continues the above transitional arrangement from 1 March 2016 until and including 17 January 2017. </w:t>
      </w:r>
      <w:r w:rsidR="0008037E">
        <w:rPr>
          <w:lang w:bidi="ar-SA"/>
        </w:rPr>
        <w:t>Food businesses will be required to comply with all other aspects of Standard 1.2.7, including provisions for health claims about dietary fibre, from 18 January 2016.</w:t>
      </w:r>
      <w:r w:rsidR="001E3CFC">
        <w:rPr>
          <w:lang w:bidi="ar-SA"/>
        </w:rPr>
        <w:t xml:space="preserve"> </w:t>
      </w:r>
    </w:p>
    <w:p w:rsidR="00E1348F" w:rsidRDefault="00E1348F" w:rsidP="00D73931">
      <w:pPr>
        <w:rPr>
          <w:lang w:bidi="ar-SA"/>
        </w:rPr>
      </w:pPr>
    </w:p>
    <w:p w:rsidR="00BF2A53" w:rsidRDefault="00196896" w:rsidP="00A56E34">
      <w:pPr>
        <w:rPr>
          <w:lang w:bidi="ar-SA"/>
        </w:rPr>
      </w:pPr>
      <w:r>
        <w:rPr>
          <w:lang w:bidi="ar-SA"/>
        </w:rPr>
        <w:t>In preparing the</w:t>
      </w:r>
      <w:r w:rsidR="00E1348F">
        <w:rPr>
          <w:lang w:bidi="ar-SA"/>
        </w:rPr>
        <w:t>se</w:t>
      </w:r>
      <w:r>
        <w:rPr>
          <w:lang w:bidi="ar-SA"/>
        </w:rPr>
        <w:t xml:space="preserve"> draft </w:t>
      </w:r>
      <w:r w:rsidR="00E1348F">
        <w:rPr>
          <w:lang w:bidi="ar-SA"/>
        </w:rPr>
        <w:t>food measures</w:t>
      </w:r>
      <w:r>
        <w:rPr>
          <w:lang w:bidi="ar-SA"/>
        </w:rPr>
        <w:t>, FSANZ has</w:t>
      </w:r>
      <w:r w:rsidR="00496C44">
        <w:rPr>
          <w:lang w:bidi="ar-SA"/>
        </w:rPr>
        <w:t xml:space="preserve"> had regard to</w:t>
      </w:r>
      <w:r>
        <w:rPr>
          <w:lang w:bidi="ar-SA"/>
        </w:rPr>
        <w:t xml:space="preserve"> the</w:t>
      </w:r>
      <w:r w:rsidR="00496C44">
        <w:rPr>
          <w:lang w:bidi="ar-SA"/>
        </w:rPr>
        <w:t xml:space="preserve"> Ministerial</w:t>
      </w:r>
      <w:r>
        <w:rPr>
          <w:lang w:bidi="ar-SA"/>
        </w:rPr>
        <w:t xml:space="preserve"> </w:t>
      </w:r>
      <w:r w:rsidRPr="00196896">
        <w:rPr>
          <w:i/>
          <w:lang w:bidi="ar-SA"/>
        </w:rPr>
        <w:t>Policy Guideline on Nutrition, Health and Related Claims</w:t>
      </w:r>
      <w:r>
        <w:rPr>
          <w:lang w:bidi="ar-SA"/>
        </w:rPr>
        <w:t xml:space="preserve">, which states that a regulatory system for health, nutrition and related claims should </w:t>
      </w:r>
      <w:r w:rsidRPr="007523CC">
        <w:rPr>
          <w:rFonts w:cs="Arial"/>
          <w:i/>
          <w:lang w:val="en-AU"/>
        </w:rPr>
        <w:t>allow for all transition issues to be clearly identified and steps taken to justify and to minimise costs of change and transition.</w:t>
      </w:r>
      <w:r w:rsidR="00BF2A53">
        <w:rPr>
          <w:lang w:bidi="ar-SA"/>
        </w:rPr>
        <w:br w:type="page"/>
      </w:r>
    </w:p>
    <w:p w:rsidR="002A5F8B" w:rsidRPr="000B6AF2" w:rsidRDefault="00F33BB8" w:rsidP="000B6AF2">
      <w:pPr>
        <w:pStyle w:val="Heading1"/>
      </w:pPr>
      <w:bookmarkStart w:id="8" w:name="_Toc286391003"/>
      <w:bookmarkStart w:id="9" w:name="_Toc300933417"/>
      <w:bookmarkStart w:id="10" w:name="_Toc414615567"/>
      <w:r>
        <w:lastRenderedPageBreak/>
        <w:t>1</w:t>
      </w:r>
      <w:r w:rsidR="001542D8">
        <w:tab/>
      </w:r>
      <w:r w:rsidR="002A5F8B" w:rsidRPr="000B6AF2">
        <w:t>Introduction</w:t>
      </w:r>
      <w:bookmarkEnd w:id="8"/>
      <w:bookmarkEnd w:id="9"/>
      <w:bookmarkEnd w:id="10"/>
    </w:p>
    <w:p w:rsidR="0053464E" w:rsidRPr="0053464E" w:rsidRDefault="00F33BB8" w:rsidP="00A56E34">
      <w:pPr>
        <w:pStyle w:val="Heading2"/>
      </w:pPr>
      <w:bookmarkStart w:id="11" w:name="_Toc300761890"/>
      <w:bookmarkStart w:id="12" w:name="_Toc414615568"/>
      <w:bookmarkStart w:id="13" w:name="_Toc300933419"/>
      <w:r>
        <w:t>1</w:t>
      </w:r>
      <w:r w:rsidR="0053464E" w:rsidRPr="0053464E">
        <w:t>.1</w:t>
      </w:r>
      <w:r w:rsidR="0053464E" w:rsidRPr="0053464E">
        <w:tab/>
        <w:t>The Applicant</w:t>
      </w:r>
      <w:bookmarkEnd w:id="11"/>
      <w:bookmarkEnd w:id="12"/>
      <w:r w:rsidR="00256D65" w:rsidRPr="00256D65">
        <w:t xml:space="preserve"> </w:t>
      </w:r>
      <w:bookmarkEnd w:id="13"/>
    </w:p>
    <w:p w:rsidR="005F534F" w:rsidRPr="00D7795B" w:rsidRDefault="005F534F" w:rsidP="005F534F">
      <w:bookmarkStart w:id="14" w:name="_Toc300761891"/>
      <w:bookmarkStart w:id="15" w:name="_Toc300933420"/>
      <w:r w:rsidRPr="00D7795B">
        <w:t>The Application was made by the Australian Food and Grocery Council (AFGC). The AFGC is the national organisation representing Australia’s food, drink and grocery manufacturing industry. The AFGC has the support of the following organisations for the Application: Grains &amp; Legumes Nutrition Council, the New Zealand Food &amp; Grocery Council and the Food and Beverage Importers Association.</w:t>
      </w:r>
    </w:p>
    <w:p w:rsidR="0053464E" w:rsidRPr="0053464E" w:rsidRDefault="00F33BB8" w:rsidP="00A56E34">
      <w:pPr>
        <w:pStyle w:val="Heading2"/>
      </w:pPr>
      <w:bookmarkStart w:id="16" w:name="_Toc414615569"/>
      <w:r>
        <w:t>1</w:t>
      </w:r>
      <w:r w:rsidR="0053464E" w:rsidRPr="0053464E">
        <w:t>.2</w:t>
      </w:r>
      <w:r w:rsidR="0053464E" w:rsidRPr="0053464E">
        <w:tab/>
      </w:r>
      <w:r w:rsidR="0053464E" w:rsidRPr="005F534F">
        <w:t>The Application</w:t>
      </w:r>
      <w:bookmarkEnd w:id="14"/>
      <w:bookmarkEnd w:id="15"/>
      <w:bookmarkEnd w:id="16"/>
    </w:p>
    <w:p w:rsidR="00AA3440" w:rsidRDefault="005F534F" w:rsidP="005F534F">
      <w:pPr>
        <w:rPr>
          <w:lang w:bidi="ar-SA"/>
        </w:rPr>
      </w:pPr>
      <w:bookmarkStart w:id="17" w:name="_Toc300761892"/>
      <w:bookmarkStart w:id="18" w:name="_Toc300933421"/>
      <w:r w:rsidRPr="00D7795B">
        <w:t>The Application</w:t>
      </w:r>
      <w:r>
        <w:t>,</w:t>
      </w:r>
      <w:r w:rsidRPr="00D7795B">
        <w:t xml:space="preserve"> received from the AFGC on 15 August 2014, </w:t>
      </w:r>
      <w:r w:rsidR="00AA3440">
        <w:t xml:space="preserve">seeks to </w:t>
      </w:r>
      <w:r w:rsidR="00AA3440" w:rsidRPr="00A224C4">
        <w:rPr>
          <w:lang w:bidi="ar-SA"/>
        </w:rPr>
        <w:t xml:space="preserve">delay the </w:t>
      </w:r>
      <w:r w:rsidR="00AA3440">
        <w:rPr>
          <w:lang w:bidi="ar-SA"/>
        </w:rPr>
        <w:t xml:space="preserve">requirement to comply with the qualifying criteria for nutrition content claims about dietary fibre </w:t>
      </w:r>
      <w:r w:rsidR="00AA3440" w:rsidRPr="00A224C4">
        <w:rPr>
          <w:lang w:bidi="ar-SA"/>
        </w:rPr>
        <w:t>in Standard 1.2.7 – Nutrition, Health and Related Claims</w:t>
      </w:r>
      <w:r w:rsidR="00AA3440">
        <w:rPr>
          <w:lang w:bidi="ar-SA"/>
        </w:rPr>
        <w:t xml:space="preserve"> of the </w:t>
      </w:r>
      <w:r w:rsidR="00AA3440" w:rsidRPr="000D7630">
        <w:rPr>
          <w:i/>
          <w:lang w:bidi="ar-SA"/>
        </w:rPr>
        <w:t>Australia New Zealand Food Standards Code</w:t>
      </w:r>
      <w:r w:rsidR="00AA3440" w:rsidRPr="00A224C4">
        <w:rPr>
          <w:lang w:bidi="ar-SA"/>
        </w:rPr>
        <w:t xml:space="preserve"> </w:t>
      </w:r>
      <w:r w:rsidR="00AA3440">
        <w:rPr>
          <w:lang w:bidi="ar-SA"/>
        </w:rPr>
        <w:t xml:space="preserve">for 12 months, </w:t>
      </w:r>
      <w:r w:rsidR="00AA3440" w:rsidRPr="00A224C4">
        <w:rPr>
          <w:lang w:bidi="ar-SA"/>
        </w:rPr>
        <w:t xml:space="preserve">from </w:t>
      </w:r>
      <w:r w:rsidR="00AA3440">
        <w:rPr>
          <w:lang w:bidi="ar-SA"/>
        </w:rPr>
        <w:t xml:space="preserve">and including </w:t>
      </w:r>
      <w:r w:rsidR="00AA3440" w:rsidRPr="00A224C4">
        <w:rPr>
          <w:lang w:bidi="ar-SA"/>
        </w:rPr>
        <w:t xml:space="preserve">18 January 2016 </w:t>
      </w:r>
      <w:r w:rsidR="00AA3440">
        <w:rPr>
          <w:lang w:bidi="ar-SA"/>
        </w:rPr>
        <w:t>until and including 17</w:t>
      </w:r>
      <w:r w:rsidR="00AA3440" w:rsidRPr="00A224C4">
        <w:rPr>
          <w:lang w:bidi="ar-SA"/>
        </w:rPr>
        <w:t xml:space="preserve"> January 2017</w:t>
      </w:r>
      <w:r w:rsidR="00AA3440">
        <w:rPr>
          <w:lang w:bidi="ar-SA"/>
        </w:rPr>
        <w:t>.</w:t>
      </w:r>
    </w:p>
    <w:p w:rsidR="0053464E" w:rsidRPr="0053464E" w:rsidRDefault="00F33BB8" w:rsidP="00A56E34">
      <w:pPr>
        <w:pStyle w:val="Heading2"/>
      </w:pPr>
      <w:bookmarkStart w:id="19" w:name="_Toc414615570"/>
      <w:r>
        <w:t>1</w:t>
      </w:r>
      <w:r w:rsidR="00A56E34">
        <w:t>.3</w:t>
      </w:r>
      <w:r w:rsidR="00A56E34">
        <w:tab/>
        <w:t>The c</w:t>
      </w:r>
      <w:r w:rsidR="0053464E" w:rsidRPr="0053464E">
        <w:t>urrent Standard</w:t>
      </w:r>
      <w:bookmarkEnd w:id="17"/>
      <w:bookmarkEnd w:id="18"/>
      <w:bookmarkEnd w:id="19"/>
    </w:p>
    <w:p w:rsidR="005F534F" w:rsidRPr="00D7795B" w:rsidRDefault="005F534F" w:rsidP="005F534F">
      <w:pPr>
        <w:rPr>
          <w:lang w:bidi="ar-SA"/>
        </w:rPr>
      </w:pPr>
      <w:bookmarkStart w:id="20" w:name="_Toc286391007"/>
      <w:bookmarkStart w:id="21" w:name="_Toc300933423"/>
      <w:bookmarkStart w:id="22" w:name="_Toc175381432"/>
      <w:r w:rsidRPr="00D7795B">
        <w:rPr>
          <w:lang w:bidi="ar-SA"/>
        </w:rPr>
        <w:t>Standard 1.2.7 was gazetted in January 2013 with a three-year transition period. Food businesses must comply with the new Standard</w:t>
      </w:r>
      <w:r w:rsidR="00BF2A53">
        <w:rPr>
          <w:lang w:bidi="ar-SA"/>
        </w:rPr>
        <w:t>,</w:t>
      </w:r>
      <w:r w:rsidRPr="00D7795B">
        <w:rPr>
          <w:lang w:bidi="ar-SA"/>
        </w:rPr>
        <w:t xml:space="preserve"> </w:t>
      </w:r>
      <w:r w:rsidR="00EA7C97">
        <w:rPr>
          <w:lang w:bidi="ar-SA"/>
        </w:rPr>
        <w:t>from and including</w:t>
      </w:r>
      <w:r w:rsidR="00BF2A53">
        <w:rPr>
          <w:lang w:bidi="ar-SA"/>
        </w:rPr>
        <w:t>,</w:t>
      </w:r>
      <w:r w:rsidR="00EA7C97">
        <w:rPr>
          <w:lang w:bidi="ar-SA"/>
        </w:rPr>
        <w:t xml:space="preserve"> </w:t>
      </w:r>
      <w:r w:rsidRPr="00D7795B">
        <w:rPr>
          <w:lang w:bidi="ar-SA"/>
        </w:rPr>
        <w:t xml:space="preserve">18 January 2016. </w:t>
      </w:r>
    </w:p>
    <w:p w:rsidR="005F534F" w:rsidRPr="00D7795B" w:rsidRDefault="005F534F" w:rsidP="005F534F">
      <w:pPr>
        <w:rPr>
          <w:lang w:bidi="ar-SA"/>
        </w:rPr>
      </w:pPr>
    </w:p>
    <w:p w:rsidR="005F534F" w:rsidRDefault="00BE3583" w:rsidP="005F534F">
      <w:pPr>
        <w:rPr>
          <w:lang w:bidi="ar-SA"/>
        </w:rPr>
      </w:pPr>
      <w:r>
        <w:rPr>
          <w:lang w:bidi="ar-SA"/>
        </w:rPr>
        <w:t xml:space="preserve">Clause 11 of Standard 1.2.7 generally requires nutrition content claims to comply with the conditions listed in Schedule 1 of that Standard. </w:t>
      </w:r>
      <w:r w:rsidR="005F534F" w:rsidRPr="00D7795B">
        <w:rPr>
          <w:lang w:bidi="ar-SA"/>
        </w:rPr>
        <w:t xml:space="preserve">Schedule 1 </w:t>
      </w:r>
      <w:r w:rsidR="005F534F" w:rsidRPr="00D7795B">
        <w:t xml:space="preserve">includes </w:t>
      </w:r>
      <w:r w:rsidR="000378A8">
        <w:t>conditions</w:t>
      </w:r>
      <w:r w:rsidR="000378A8" w:rsidRPr="00D7795B">
        <w:t xml:space="preserve"> </w:t>
      </w:r>
      <w:r w:rsidR="005F534F" w:rsidRPr="00D7795B">
        <w:t xml:space="preserve">for nutrition content claims about dietary fibre. Foods carrying </w:t>
      </w:r>
      <w:r w:rsidR="005F534F" w:rsidRPr="00D7795B">
        <w:rPr>
          <w:i/>
          <w:lang w:bidi="ar-SA"/>
        </w:rPr>
        <w:t>source</w:t>
      </w:r>
      <w:r w:rsidR="005F534F" w:rsidRPr="00D7795B">
        <w:rPr>
          <w:lang w:bidi="ar-SA"/>
        </w:rPr>
        <w:t xml:space="preserve">, </w:t>
      </w:r>
      <w:r w:rsidR="005F534F" w:rsidRPr="00D7795B">
        <w:rPr>
          <w:i/>
          <w:lang w:bidi="ar-SA"/>
        </w:rPr>
        <w:t>good source</w:t>
      </w:r>
      <w:r w:rsidR="005F534F" w:rsidRPr="00D7795B">
        <w:rPr>
          <w:lang w:bidi="ar-SA"/>
        </w:rPr>
        <w:t xml:space="preserve"> </w:t>
      </w:r>
      <w:r w:rsidR="009D716F">
        <w:rPr>
          <w:lang w:bidi="ar-SA"/>
        </w:rPr>
        <w:t>or</w:t>
      </w:r>
      <w:r w:rsidR="005F534F" w:rsidRPr="00D7795B">
        <w:rPr>
          <w:lang w:bidi="ar-SA"/>
        </w:rPr>
        <w:t xml:space="preserve"> </w:t>
      </w:r>
      <w:r w:rsidR="005F534F" w:rsidRPr="00D7795B">
        <w:rPr>
          <w:i/>
          <w:lang w:bidi="ar-SA"/>
        </w:rPr>
        <w:t>excellent source</w:t>
      </w:r>
      <w:r w:rsidR="005F534F" w:rsidRPr="00D7795B">
        <w:rPr>
          <w:lang w:bidi="ar-SA"/>
        </w:rPr>
        <w:t xml:space="preserve"> (or synonyms of these) claims about dietary fibre m</w:t>
      </w:r>
      <w:r w:rsidR="005F534F" w:rsidRPr="00D7795B">
        <w:t>ust have</w:t>
      </w:r>
      <w:r w:rsidR="005F534F" w:rsidRPr="00D7795B">
        <w:rPr>
          <w:lang w:bidi="ar-SA"/>
        </w:rPr>
        <w:t xml:space="preserve"> 2 g, 4 g and 7 g dietary fibre per serving, respectively (see Table 1). </w:t>
      </w:r>
      <w:r w:rsidR="00616EC4">
        <w:rPr>
          <w:lang w:bidi="ar-SA"/>
        </w:rPr>
        <w:t xml:space="preserve">In addition, foods carrying </w:t>
      </w:r>
      <w:r w:rsidR="00616EC4" w:rsidRPr="00616EC4">
        <w:rPr>
          <w:i/>
          <w:lang w:bidi="ar-SA"/>
        </w:rPr>
        <w:t>increased</w:t>
      </w:r>
      <w:r w:rsidR="00616EC4">
        <w:rPr>
          <w:lang w:bidi="ar-SA"/>
        </w:rPr>
        <w:t xml:space="preserve"> claims must </w:t>
      </w:r>
      <w:r w:rsidR="00C03933">
        <w:rPr>
          <w:lang w:bidi="ar-SA"/>
        </w:rPr>
        <w:t xml:space="preserve">contain </w:t>
      </w:r>
      <w:r w:rsidR="00616EC4">
        <w:rPr>
          <w:lang w:bidi="ar-SA"/>
        </w:rPr>
        <w:t xml:space="preserve">at least </w:t>
      </w:r>
      <w:r w:rsidR="007E75CF">
        <w:rPr>
          <w:lang w:bidi="ar-SA"/>
        </w:rPr>
        <w:t xml:space="preserve">25% more dietary fibre than the same quantity of reference food </w:t>
      </w:r>
      <w:r w:rsidR="00C03933">
        <w:rPr>
          <w:lang w:bidi="ar-SA"/>
        </w:rPr>
        <w:t>(the reference food</w:t>
      </w:r>
      <w:r w:rsidR="007E75CF">
        <w:rPr>
          <w:lang w:bidi="ar-SA"/>
        </w:rPr>
        <w:t xml:space="preserve"> must </w:t>
      </w:r>
      <w:r w:rsidR="00C03933">
        <w:rPr>
          <w:lang w:bidi="ar-SA"/>
        </w:rPr>
        <w:t>contain</w:t>
      </w:r>
      <w:r w:rsidR="007E75CF">
        <w:rPr>
          <w:lang w:bidi="ar-SA"/>
        </w:rPr>
        <w:t xml:space="preserve"> at least 2 g of dietary fibre per serving</w:t>
      </w:r>
      <w:r w:rsidR="00C03933">
        <w:rPr>
          <w:lang w:bidi="ar-SA"/>
        </w:rPr>
        <w:t>)</w:t>
      </w:r>
      <w:r w:rsidR="00616EC4">
        <w:rPr>
          <w:lang w:bidi="ar-SA"/>
        </w:rPr>
        <w:t xml:space="preserve">. </w:t>
      </w:r>
      <w:r w:rsidR="005F534F" w:rsidRPr="00D7795B">
        <w:rPr>
          <w:lang w:bidi="ar-SA"/>
        </w:rPr>
        <w:t>These qualifying criteria were developed during Propo</w:t>
      </w:r>
      <w:r w:rsidR="004A7057">
        <w:rPr>
          <w:lang w:bidi="ar-SA"/>
        </w:rPr>
        <w:t>sal P293 – Nutrition, Health &amp;</w:t>
      </w:r>
      <w:r w:rsidR="005F534F" w:rsidRPr="00D7795B">
        <w:rPr>
          <w:lang w:bidi="ar-SA"/>
        </w:rPr>
        <w:t xml:space="preserve"> Related Claims.</w:t>
      </w:r>
      <w:r w:rsidR="005F534F" w:rsidRPr="00D7795B">
        <w:rPr>
          <w:rStyle w:val="FootnoteReference"/>
          <w:lang w:bidi="ar-SA"/>
        </w:rPr>
        <w:footnoteReference w:id="2"/>
      </w:r>
    </w:p>
    <w:p w:rsidR="00AA3440" w:rsidRDefault="00AA3440" w:rsidP="005F534F">
      <w:pPr>
        <w:rPr>
          <w:lang w:bidi="ar-SA"/>
        </w:rPr>
      </w:pPr>
    </w:p>
    <w:p w:rsidR="00AA3440" w:rsidRDefault="00AA3440" w:rsidP="005F534F">
      <w:pPr>
        <w:rPr>
          <w:lang w:bidi="ar-SA"/>
        </w:rPr>
      </w:pPr>
      <w:r>
        <w:t xml:space="preserve">For the purposes of this report the term </w:t>
      </w:r>
      <w:r w:rsidRPr="00AA3440">
        <w:rPr>
          <w:i/>
        </w:rPr>
        <w:t>qualifying criteria for nutrition content claims about dietary fibre</w:t>
      </w:r>
      <w:r>
        <w:t xml:space="preserve"> refers to the minimum amount of dietary fibre required in food carrying </w:t>
      </w:r>
      <w:r w:rsidRPr="00AA3440">
        <w:rPr>
          <w:i/>
        </w:rPr>
        <w:t>source</w:t>
      </w:r>
      <w:r>
        <w:t xml:space="preserve"> (2 g dietary fibre per serving), </w:t>
      </w:r>
      <w:r w:rsidRPr="00AA3440">
        <w:rPr>
          <w:i/>
        </w:rPr>
        <w:t>good source</w:t>
      </w:r>
      <w:r>
        <w:t xml:space="preserve"> (4 g dietary fibre per serving), </w:t>
      </w:r>
      <w:r w:rsidRPr="00AA3440">
        <w:rPr>
          <w:i/>
        </w:rPr>
        <w:t>excellent source</w:t>
      </w:r>
      <w:r>
        <w:t xml:space="preserve"> (7 g dietary fibre per serving) (or synonyms), and </w:t>
      </w:r>
      <w:r w:rsidRPr="00AA3440">
        <w:rPr>
          <w:i/>
        </w:rPr>
        <w:t>increased</w:t>
      </w:r>
      <w:r>
        <w:t xml:space="preserve"> claims (reference food must contain at least 2 g dietary fibre per serving).</w:t>
      </w:r>
    </w:p>
    <w:p w:rsidR="00F14323" w:rsidRPr="00D7795B" w:rsidRDefault="00F14323" w:rsidP="00F14323">
      <w:pPr>
        <w:pStyle w:val="Heading2"/>
      </w:pPr>
      <w:bookmarkStart w:id="23" w:name="_Toc414615571"/>
      <w:r>
        <w:t>1</w:t>
      </w:r>
      <w:r w:rsidRPr="00D7795B">
        <w:t>.4</w:t>
      </w:r>
      <w:r w:rsidRPr="00D7795B">
        <w:tab/>
        <w:t>Justification for the Application</w:t>
      </w:r>
      <w:bookmarkEnd w:id="23"/>
    </w:p>
    <w:p w:rsidR="00F14323" w:rsidRPr="00D7795B" w:rsidRDefault="00F14323" w:rsidP="00F14323">
      <w:pPr>
        <w:rPr>
          <w:lang w:bidi="ar-SA"/>
        </w:rPr>
      </w:pPr>
      <w:r w:rsidRPr="00D7795B">
        <w:rPr>
          <w:lang w:bidi="ar-SA"/>
        </w:rPr>
        <w:t xml:space="preserve">Before the gazettal of Standard 1.2.7, there were no qualifying criteria for nutrition content claims about dietary fibre in </w:t>
      </w:r>
      <w:r w:rsidR="00923B0C">
        <w:rPr>
          <w:lang w:bidi="ar-SA"/>
        </w:rPr>
        <w:t xml:space="preserve">the </w:t>
      </w:r>
      <w:r w:rsidRPr="00D7795B">
        <w:rPr>
          <w:lang w:bidi="ar-SA"/>
        </w:rPr>
        <w:t>Code</w:t>
      </w:r>
      <w:r w:rsidR="00A17CCC">
        <w:rPr>
          <w:lang w:bidi="ar-SA"/>
        </w:rPr>
        <w:t>.</w:t>
      </w:r>
      <w:r w:rsidR="00A17CCC" w:rsidRPr="00D7795B">
        <w:rPr>
          <w:lang w:bidi="ar-SA"/>
        </w:rPr>
        <w:t xml:space="preserve"> </w:t>
      </w:r>
      <w:r w:rsidR="00A17CCC">
        <w:rPr>
          <w:lang w:bidi="ar-SA"/>
        </w:rPr>
        <w:t>A</w:t>
      </w:r>
      <w:r w:rsidR="00A17CCC" w:rsidRPr="00D7795B">
        <w:rPr>
          <w:lang w:bidi="ar-SA"/>
        </w:rPr>
        <w:t xml:space="preserve"> </w:t>
      </w:r>
      <w:r w:rsidRPr="00D7795B">
        <w:rPr>
          <w:lang w:bidi="ar-SA"/>
        </w:rPr>
        <w:t xml:space="preserve">voluntary code of practice, the 1995 </w:t>
      </w:r>
      <w:r w:rsidRPr="00D7795B">
        <w:rPr>
          <w:i/>
          <w:lang w:bidi="ar-SA"/>
        </w:rPr>
        <w:t>Code of Practice on Nutrient Claims in Food Labels and in Advertisements</w:t>
      </w:r>
      <w:r w:rsidRPr="00D7795B">
        <w:rPr>
          <w:lang w:bidi="ar-SA"/>
        </w:rPr>
        <w:t xml:space="preserve"> (CoPoNC) (National Food Authority, 1995), which included qualifying criteria for dietary fibre</w:t>
      </w:r>
      <w:r w:rsidR="00616EC4">
        <w:rPr>
          <w:lang w:bidi="ar-SA"/>
        </w:rPr>
        <w:t xml:space="preserve"> claims</w:t>
      </w:r>
      <w:r w:rsidRPr="00D7795B">
        <w:rPr>
          <w:lang w:bidi="ar-SA"/>
        </w:rPr>
        <w:t xml:space="preserve"> (see Table 1)</w:t>
      </w:r>
      <w:r w:rsidR="00426939">
        <w:rPr>
          <w:lang w:bidi="ar-SA"/>
        </w:rPr>
        <w:t xml:space="preserve"> </w:t>
      </w:r>
      <w:r w:rsidR="00F2540B">
        <w:rPr>
          <w:lang w:bidi="ar-SA"/>
        </w:rPr>
        <w:t>was available</w:t>
      </w:r>
      <w:r w:rsidR="00426939">
        <w:rPr>
          <w:lang w:bidi="ar-SA"/>
        </w:rPr>
        <w:t xml:space="preserve"> in Australia</w:t>
      </w:r>
      <w:r w:rsidRPr="00D7795B">
        <w:rPr>
          <w:lang w:bidi="ar-SA"/>
        </w:rPr>
        <w:t xml:space="preserve">. The </w:t>
      </w:r>
      <w:r w:rsidRPr="00D7795B">
        <w:rPr>
          <w:i/>
          <w:lang w:bidi="ar-SA"/>
        </w:rPr>
        <w:t>New Zealand Food Regulations</w:t>
      </w:r>
      <w:r w:rsidRPr="00D7795B">
        <w:rPr>
          <w:lang w:bidi="ar-SA"/>
        </w:rPr>
        <w:t xml:space="preserve"> </w:t>
      </w:r>
      <w:r w:rsidRPr="00D7795B">
        <w:rPr>
          <w:i/>
          <w:lang w:bidi="ar-SA"/>
        </w:rPr>
        <w:t>(1984)</w:t>
      </w:r>
      <w:r w:rsidRPr="00D7795B">
        <w:rPr>
          <w:lang w:bidi="ar-SA"/>
        </w:rPr>
        <w:t xml:space="preserve"> included qualifying criteria for </w:t>
      </w:r>
      <w:r w:rsidRPr="00D7795B">
        <w:rPr>
          <w:i/>
          <w:lang w:bidi="ar-SA"/>
        </w:rPr>
        <w:t xml:space="preserve">good source </w:t>
      </w:r>
      <w:r w:rsidRPr="00D7795B">
        <w:rPr>
          <w:lang w:bidi="ar-SA"/>
        </w:rPr>
        <w:t>claims only (4 g dietary fibre per serving)</w:t>
      </w:r>
      <w:r w:rsidR="00CE56CC" w:rsidRPr="00D7795B">
        <w:rPr>
          <w:lang w:bidi="ar-SA"/>
        </w:rPr>
        <w:t>;</w:t>
      </w:r>
      <w:r w:rsidRPr="00D7795B">
        <w:rPr>
          <w:lang w:bidi="ar-SA"/>
        </w:rPr>
        <w:t xml:space="preserve"> however these regulations were revoked in 2002.</w:t>
      </w:r>
    </w:p>
    <w:p w:rsidR="00F14323" w:rsidRPr="00D7795B" w:rsidRDefault="00F14323" w:rsidP="00F14323">
      <w:pPr>
        <w:rPr>
          <w:lang w:bidi="ar-SA"/>
        </w:rPr>
      </w:pPr>
    </w:p>
    <w:p w:rsidR="00D87BF7" w:rsidRDefault="00D87BF7">
      <w:pPr>
        <w:widowControl/>
        <w:rPr>
          <w:rFonts w:cs="Arial"/>
          <w:lang w:bidi="ar-SA"/>
        </w:rPr>
      </w:pPr>
      <w:r>
        <w:rPr>
          <w:b/>
          <w:lang w:bidi="ar-SA"/>
        </w:rPr>
        <w:br w:type="page"/>
      </w:r>
    </w:p>
    <w:p w:rsidR="00F14323" w:rsidRDefault="00F14323" w:rsidP="00FA2C60">
      <w:pPr>
        <w:pStyle w:val="FSTableTitle"/>
        <w:rPr>
          <w:lang w:bidi="ar-SA"/>
        </w:rPr>
      </w:pPr>
      <w:r w:rsidRPr="001048BF">
        <w:rPr>
          <w:lang w:bidi="ar-SA"/>
        </w:rPr>
        <w:lastRenderedPageBreak/>
        <w:t>Table 1:  Qualifying criteria for nutrition content claims about dietary fibre</w:t>
      </w:r>
    </w:p>
    <w:p w:rsidR="0052439D" w:rsidRPr="0052439D" w:rsidRDefault="0052439D" w:rsidP="0052439D">
      <w:pPr>
        <w:rPr>
          <w:lang w:bidi="ar-SA"/>
        </w:rPr>
      </w:pPr>
    </w:p>
    <w:tbl>
      <w:tblPr>
        <w:tblStyle w:val="TableGrid"/>
        <w:tblW w:w="0" w:type="auto"/>
        <w:tblInd w:w="108" w:type="dxa"/>
        <w:tblLook w:val="04A0" w:firstRow="1" w:lastRow="0" w:firstColumn="1" w:lastColumn="0" w:noHBand="0" w:noVBand="1"/>
      </w:tblPr>
      <w:tblGrid>
        <w:gridCol w:w="2973"/>
        <w:gridCol w:w="3080"/>
        <w:gridCol w:w="3081"/>
      </w:tblGrid>
      <w:tr w:rsidR="00F14323" w:rsidRPr="00D7795B" w:rsidTr="001048BF">
        <w:tc>
          <w:tcPr>
            <w:tcW w:w="2987" w:type="dxa"/>
            <w:vMerge w:val="restart"/>
            <w:shd w:val="clear" w:color="auto" w:fill="D6E3BC" w:themeFill="accent3" w:themeFillTint="66"/>
          </w:tcPr>
          <w:p w:rsidR="00F14323" w:rsidRPr="00ED6D0A" w:rsidRDefault="00F14323" w:rsidP="007215AE">
            <w:pPr>
              <w:pStyle w:val="FSTableHeading"/>
              <w:rPr>
                <w:lang w:bidi="ar-SA"/>
              </w:rPr>
            </w:pPr>
            <w:r w:rsidRPr="00ED6D0A">
              <w:rPr>
                <w:lang w:bidi="ar-SA"/>
              </w:rPr>
              <w:t>Descriptors for the dietary fibre nutrition content claim</w:t>
            </w:r>
          </w:p>
        </w:tc>
        <w:tc>
          <w:tcPr>
            <w:tcW w:w="3095" w:type="dxa"/>
            <w:shd w:val="clear" w:color="auto" w:fill="D6E3BC" w:themeFill="accent3" w:themeFillTint="66"/>
          </w:tcPr>
          <w:p w:rsidR="00F14323" w:rsidRPr="00ED6D0A" w:rsidRDefault="00F14323" w:rsidP="007215AE">
            <w:pPr>
              <w:pStyle w:val="FSTableHeading"/>
              <w:rPr>
                <w:lang w:bidi="ar-SA"/>
              </w:rPr>
            </w:pPr>
            <w:r w:rsidRPr="00ED6D0A">
              <w:rPr>
                <w:lang w:bidi="ar-SA"/>
              </w:rPr>
              <w:t>CoPoNC qualifying criteria</w:t>
            </w:r>
          </w:p>
        </w:tc>
        <w:tc>
          <w:tcPr>
            <w:tcW w:w="3096" w:type="dxa"/>
            <w:shd w:val="clear" w:color="auto" w:fill="D6E3BC" w:themeFill="accent3" w:themeFillTint="66"/>
          </w:tcPr>
          <w:p w:rsidR="00F14323" w:rsidRPr="00ED6D0A" w:rsidRDefault="00F14323" w:rsidP="007215AE">
            <w:pPr>
              <w:pStyle w:val="FSTableHeading"/>
              <w:rPr>
                <w:lang w:bidi="ar-SA"/>
              </w:rPr>
            </w:pPr>
            <w:r w:rsidRPr="00ED6D0A">
              <w:rPr>
                <w:lang w:bidi="ar-SA"/>
              </w:rPr>
              <w:t>Standard 1.2.7 qualifying criteria</w:t>
            </w:r>
          </w:p>
        </w:tc>
      </w:tr>
      <w:tr w:rsidR="00F14323" w:rsidRPr="00D7795B" w:rsidTr="001048BF">
        <w:tc>
          <w:tcPr>
            <w:tcW w:w="2987" w:type="dxa"/>
            <w:vMerge/>
            <w:shd w:val="clear" w:color="auto" w:fill="D6E3BC" w:themeFill="accent3" w:themeFillTint="66"/>
          </w:tcPr>
          <w:p w:rsidR="00F14323" w:rsidRPr="00ED6D0A" w:rsidRDefault="00F14323" w:rsidP="007215AE">
            <w:pPr>
              <w:pStyle w:val="FSTableHeading"/>
              <w:rPr>
                <w:lang w:bidi="ar-SA"/>
              </w:rPr>
            </w:pPr>
          </w:p>
        </w:tc>
        <w:tc>
          <w:tcPr>
            <w:tcW w:w="6191" w:type="dxa"/>
            <w:gridSpan w:val="2"/>
            <w:shd w:val="clear" w:color="auto" w:fill="D6E3BC" w:themeFill="accent3" w:themeFillTint="66"/>
          </w:tcPr>
          <w:p w:rsidR="00F14323" w:rsidRPr="00ED6D0A" w:rsidRDefault="00F14323" w:rsidP="007215AE">
            <w:pPr>
              <w:pStyle w:val="FSTableHeading"/>
              <w:rPr>
                <w:lang w:bidi="ar-SA"/>
              </w:rPr>
            </w:pPr>
            <w:r w:rsidRPr="00ED6D0A">
              <w:rPr>
                <w:lang w:bidi="ar-SA"/>
              </w:rPr>
              <w:t>g dietary fibre per serving</w:t>
            </w:r>
          </w:p>
        </w:tc>
      </w:tr>
      <w:tr w:rsidR="00F14323" w:rsidRPr="00D7795B" w:rsidTr="007215AE">
        <w:tc>
          <w:tcPr>
            <w:tcW w:w="2987" w:type="dxa"/>
          </w:tcPr>
          <w:p w:rsidR="00F14323" w:rsidRPr="00ED6D0A" w:rsidRDefault="00F14323" w:rsidP="007215AE">
            <w:pPr>
              <w:pStyle w:val="FSTableText"/>
              <w:rPr>
                <w:lang w:bidi="ar-SA"/>
              </w:rPr>
            </w:pPr>
            <w:r w:rsidRPr="00ED6D0A">
              <w:rPr>
                <w:lang w:bidi="ar-SA"/>
              </w:rPr>
              <w:t>Source</w:t>
            </w:r>
          </w:p>
        </w:tc>
        <w:tc>
          <w:tcPr>
            <w:tcW w:w="3095" w:type="dxa"/>
          </w:tcPr>
          <w:p w:rsidR="00F14323" w:rsidRPr="00ED6D0A" w:rsidRDefault="00F14323" w:rsidP="007215AE">
            <w:pPr>
              <w:pStyle w:val="FSTableText"/>
              <w:rPr>
                <w:lang w:bidi="ar-SA"/>
              </w:rPr>
            </w:pPr>
            <w:r w:rsidRPr="00ED6D0A">
              <w:rPr>
                <w:lang w:bidi="ar-SA"/>
              </w:rPr>
              <w:t>1.5</w:t>
            </w:r>
          </w:p>
        </w:tc>
        <w:tc>
          <w:tcPr>
            <w:tcW w:w="3096" w:type="dxa"/>
          </w:tcPr>
          <w:p w:rsidR="00F14323" w:rsidRPr="00ED6D0A" w:rsidRDefault="00F14323" w:rsidP="007215AE">
            <w:pPr>
              <w:pStyle w:val="FSTableText"/>
              <w:rPr>
                <w:lang w:bidi="ar-SA"/>
              </w:rPr>
            </w:pPr>
            <w:r w:rsidRPr="00ED6D0A">
              <w:rPr>
                <w:lang w:bidi="ar-SA"/>
              </w:rPr>
              <w:t>2</w:t>
            </w:r>
          </w:p>
        </w:tc>
      </w:tr>
      <w:tr w:rsidR="00F14323" w:rsidRPr="00D7795B" w:rsidTr="007215AE">
        <w:tc>
          <w:tcPr>
            <w:tcW w:w="2987" w:type="dxa"/>
          </w:tcPr>
          <w:p w:rsidR="00F14323" w:rsidRPr="00ED6D0A" w:rsidRDefault="00F14323" w:rsidP="007215AE">
            <w:pPr>
              <w:pStyle w:val="FSTableText"/>
              <w:rPr>
                <w:lang w:bidi="ar-SA"/>
              </w:rPr>
            </w:pPr>
            <w:r w:rsidRPr="00ED6D0A">
              <w:rPr>
                <w:lang w:bidi="ar-SA"/>
              </w:rPr>
              <w:t>Good source</w:t>
            </w:r>
          </w:p>
        </w:tc>
        <w:tc>
          <w:tcPr>
            <w:tcW w:w="3095" w:type="dxa"/>
          </w:tcPr>
          <w:p w:rsidR="00F14323" w:rsidRPr="00ED6D0A" w:rsidRDefault="00F14323" w:rsidP="007215AE">
            <w:pPr>
              <w:pStyle w:val="FSTableText"/>
              <w:rPr>
                <w:lang w:bidi="ar-SA"/>
              </w:rPr>
            </w:pPr>
            <w:r w:rsidRPr="00ED6D0A">
              <w:rPr>
                <w:lang w:bidi="ar-SA"/>
              </w:rPr>
              <w:t>3</w:t>
            </w:r>
          </w:p>
        </w:tc>
        <w:tc>
          <w:tcPr>
            <w:tcW w:w="3096" w:type="dxa"/>
          </w:tcPr>
          <w:p w:rsidR="00F14323" w:rsidRPr="00ED6D0A" w:rsidRDefault="00F14323" w:rsidP="007215AE">
            <w:pPr>
              <w:pStyle w:val="FSTableText"/>
              <w:rPr>
                <w:lang w:bidi="ar-SA"/>
              </w:rPr>
            </w:pPr>
            <w:r w:rsidRPr="00ED6D0A">
              <w:rPr>
                <w:lang w:bidi="ar-SA"/>
              </w:rPr>
              <w:t>4</w:t>
            </w:r>
          </w:p>
        </w:tc>
      </w:tr>
      <w:tr w:rsidR="00F14323" w:rsidRPr="00D7795B" w:rsidTr="007215AE">
        <w:tc>
          <w:tcPr>
            <w:tcW w:w="2987" w:type="dxa"/>
          </w:tcPr>
          <w:p w:rsidR="00F14323" w:rsidRPr="00ED6D0A" w:rsidRDefault="00F14323" w:rsidP="007215AE">
            <w:pPr>
              <w:pStyle w:val="FSTableText"/>
              <w:rPr>
                <w:lang w:bidi="ar-SA"/>
              </w:rPr>
            </w:pPr>
            <w:r w:rsidRPr="00ED6D0A">
              <w:rPr>
                <w:lang w:bidi="ar-SA"/>
              </w:rPr>
              <w:t>Very high or Excellent source</w:t>
            </w:r>
          </w:p>
        </w:tc>
        <w:tc>
          <w:tcPr>
            <w:tcW w:w="3095" w:type="dxa"/>
          </w:tcPr>
          <w:p w:rsidR="00F14323" w:rsidRPr="00ED6D0A" w:rsidRDefault="00F14323" w:rsidP="007215AE">
            <w:pPr>
              <w:pStyle w:val="FSTableText"/>
              <w:rPr>
                <w:lang w:bidi="ar-SA"/>
              </w:rPr>
            </w:pPr>
            <w:r w:rsidRPr="00ED6D0A">
              <w:rPr>
                <w:lang w:bidi="ar-SA"/>
              </w:rPr>
              <w:t>6</w:t>
            </w:r>
          </w:p>
        </w:tc>
        <w:tc>
          <w:tcPr>
            <w:tcW w:w="3096" w:type="dxa"/>
          </w:tcPr>
          <w:p w:rsidR="00F14323" w:rsidRPr="00ED6D0A" w:rsidRDefault="00F14323" w:rsidP="007215AE">
            <w:pPr>
              <w:pStyle w:val="FSTableText"/>
              <w:rPr>
                <w:lang w:bidi="ar-SA"/>
              </w:rPr>
            </w:pPr>
            <w:r w:rsidRPr="00ED6D0A">
              <w:rPr>
                <w:lang w:bidi="ar-SA"/>
              </w:rPr>
              <w:t>7</w:t>
            </w:r>
          </w:p>
        </w:tc>
      </w:tr>
      <w:tr w:rsidR="00D87BF7" w:rsidRPr="00D7795B" w:rsidTr="007215AE">
        <w:tc>
          <w:tcPr>
            <w:tcW w:w="2987" w:type="dxa"/>
          </w:tcPr>
          <w:p w:rsidR="00D87BF7" w:rsidRPr="00ED6D0A" w:rsidRDefault="00D87BF7" w:rsidP="007215AE">
            <w:pPr>
              <w:pStyle w:val="FSTableText"/>
              <w:rPr>
                <w:lang w:bidi="ar-SA"/>
              </w:rPr>
            </w:pPr>
            <w:r>
              <w:rPr>
                <w:lang w:bidi="ar-SA"/>
              </w:rPr>
              <w:t>Increased</w:t>
            </w:r>
          </w:p>
        </w:tc>
        <w:tc>
          <w:tcPr>
            <w:tcW w:w="3095" w:type="dxa"/>
          </w:tcPr>
          <w:p w:rsidR="00D87BF7" w:rsidRPr="00ED6D0A" w:rsidRDefault="00D87BF7" w:rsidP="007215AE">
            <w:pPr>
              <w:pStyle w:val="FSTableText"/>
              <w:rPr>
                <w:lang w:bidi="ar-SA"/>
              </w:rPr>
            </w:pPr>
            <w:r>
              <w:rPr>
                <w:lang w:bidi="ar-SA"/>
              </w:rPr>
              <w:t>reference food contains at least 1.5 g per serving</w:t>
            </w:r>
            <w:r w:rsidR="00D71312">
              <w:rPr>
                <w:lang w:bidi="ar-SA"/>
              </w:rPr>
              <w:t xml:space="preserve"> </w:t>
            </w:r>
            <w:r w:rsidR="00D71312" w:rsidRPr="00D71312">
              <w:rPr>
                <w:lang w:bidi="ar-SA"/>
              </w:rPr>
              <w:t>and the food contains at least 25% more dietary fibre than the same quantity of reference food</w:t>
            </w:r>
          </w:p>
        </w:tc>
        <w:tc>
          <w:tcPr>
            <w:tcW w:w="3096" w:type="dxa"/>
          </w:tcPr>
          <w:p w:rsidR="00D87BF7" w:rsidRPr="00ED6D0A" w:rsidRDefault="00D87BF7" w:rsidP="007215AE">
            <w:pPr>
              <w:pStyle w:val="FSTableText"/>
              <w:rPr>
                <w:lang w:bidi="ar-SA"/>
              </w:rPr>
            </w:pPr>
            <w:r>
              <w:rPr>
                <w:lang w:bidi="ar-SA"/>
              </w:rPr>
              <w:t>reference food contains at least 2 g per serving</w:t>
            </w:r>
            <w:r w:rsidR="00594F5C">
              <w:rPr>
                <w:lang w:bidi="ar-SA"/>
              </w:rPr>
              <w:t xml:space="preserve"> and the food contains at</w:t>
            </w:r>
            <w:r w:rsidR="00523291">
              <w:rPr>
                <w:lang w:bidi="ar-SA"/>
              </w:rPr>
              <w:t xml:space="preserve"> </w:t>
            </w:r>
            <w:r w:rsidR="00594F5C">
              <w:rPr>
                <w:lang w:bidi="ar-SA"/>
              </w:rPr>
              <w:t>least 25% more dietary fibre than the same quantity of reference food</w:t>
            </w:r>
          </w:p>
        </w:tc>
      </w:tr>
    </w:tbl>
    <w:p w:rsidR="00F14323" w:rsidRPr="00D7795B" w:rsidRDefault="00F14323" w:rsidP="00F14323">
      <w:pPr>
        <w:rPr>
          <w:lang w:bidi="ar-SA"/>
        </w:rPr>
      </w:pPr>
    </w:p>
    <w:p w:rsidR="00F14323" w:rsidRPr="00D7795B" w:rsidRDefault="00F14323" w:rsidP="00F14323">
      <w:pPr>
        <w:rPr>
          <w:szCs w:val="22"/>
        </w:rPr>
      </w:pPr>
      <w:r w:rsidRPr="00D7795B">
        <w:rPr>
          <w:szCs w:val="22"/>
        </w:rPr>
        <w:t>In 2012</w:t>
      </w:r>
      <w:r w:rsidR="00496C44">
        <w:rPr>
          <w:szCs w:val="22"/>
        </w:rPr>
        <w:t>,</w:t>
      </w:r>
      <w:r w:rsidRPr="00D7795B">
        <w:rPr>
          <w:szCs w:val="22"/>
        </w:rPr>
        <w:t xml:space="preserve"> towards the end of the review of Standard 1.2.7, several breakfast cereal and bread manufacturers expressed concern that the qualifying criteria were set above the criteria in CoPoNC and that this would affect their ability to make nutrition content claims about dietary fibre. In response to this concern </w:t>
      </w:r>
      <w:r w:rsidR="00CE56CC">
        <w:rPr>
          <w:szCs w:val="22"/>
        </w:rPr>
        <w:t xml:space="preserve">and after the gazettal of Standard 1.2.7, </w:t>
      </w:r>
      <w:r w:rsidRPr="00D7795B">
        <w:rPr>
          <w:szCs w:val="22"/>
        </w:rPr>
        <w:t xml:space="preserve">FSANZ further considered the issue in 2013. </w:t>
      </w:r>
    </w:p>
    <w:p w:rsidR="00D40221" w:rsidRDefault="00D40221" w:rsidP="00F14323">
      <w:pPr>
        <w:rPr>
          <w:szCs w:val="22"/>
        </w:rPr>
      </w:pPr>
    </w:p>
    <w:p w:rsidR="00F14323" w:rsidRPr="00D7795B" w:rsidRDefault="00F14323" w:rsidP="00F14323">
      <w:r w:rsidRPr="00D7795B">
        <w:rPr>
          <w:szCs w:val="22"/>
        </w:rPr>
        <w:t xml:space="preserve">Following public consultation in mid-2013, FSANZ decided to maintain the qualifying criteria in Standard 1.2.7 and notified stakeholders of this decision </w:t>
      </w:r>
      <w:r w:rsidR="00CE56CC">
        <w:rPr>
          <w:szCs w:val="22"/>
        </w:rPr>
        <w:t>in December</w:t>
      </w:r>
      <w:r w:rsidR="00CE56CC" w:rsidRPr="00D7795B">
        <w:rPr>
          <w:szCs w:val="22"/>
        </w:rPr>
        <w:t xml:space="preserve"> </w:t>
      </w:r>
      <w:r w:rsidRPr="00D7795B">
        <w:rPr>
          <w:szCs w:val="22"/>
        </w:rPr>
        <w:t>2013.</w:t>
      </w:r>
      <w:r w:rsidRPr="00D7795B">
        <w:rPr>
          <w:rStyle w:val="FootnoteReference"/>
          <w:szCs w:val="22"/>
        </w:rPr>
        <w:footnoteReference w:id="3"/>
      </w:r>
    </w:p>
    <w:p w:rsidR="00F14323" w:rsidRPr="00D7795B" w:rsidRDefault="00F14323" w:rsidP="00F14323"/>
    <w:p w:rsidR="00257FF0" w:rsidRDefault="00257FF0" w:rsidP="00F14323">
      <w:pPr>
        <w:rPr>
          <w:lang w:bidi="ar-SA"/>
        </w:rPr>
      </w:pPr>
      <w:r>
        <w:t xml:space="preserve">As mentioned above, </w:t>
      </w:r>
      <w:r w:rsidRPr="00D7795B">
        <w:rPr>
          <w:lang w:bidi="ar-SA"/>
        </w:rPr>
        <w:t>Standard 1.2.7 was gazetted in January 2013 with a three-year transition period</w:t>
      </w:r>
      <w:r w:rsidR="002E3C78">
        <w:rPr>
          <w:lang w:bidi="ar-SA"/>
        </w:rPr>
        <w:t>, which</w:t>
      </w:r>
      <w:r>
        <w:rPr>
          <w:lang w:bidi="ar-SA"/>
        </w:rPr>
        <w:t xml:space="preserve"> ends on</w:t>
      </w:r>
      <w:r w:rsidRPr="00D7795B">
        <w:rPr>
          <w:lang w:bidi="ar-SA"/>
        </w:rPr>
        <w:t xml:space="preserve"> 18 January 2016</w:t>
      </w:r>
      <w:r>
        <w:rPr>
          <w:lang w:bidi="ar-SA"/>
        </w:rPr>
        <w:t xml:space="preserve">. </w:t>
      </w:r>
      <w:r w:rsidR="002E3C78">
        <w:rPr>
          <w:lang w:bidi="ar-SA"/>
        </w:rPr>
        <w:t>At that point, industry must comply with the Standard’s</w:t>
      </w:r>
      <w:r w:rsidR="002E3C78" w:rsidRPr="00D7795B">
        <w:rPr>
          <w:lang w:bidi="ar-SA"/>
        </w:rPr>
        <w:t xml:space="preserve"> qualifying criteria for nutrition content claims about dietary</w:t>
      </w:r>
      <w:r w:rsidR="002E3C78">
        <w:rPr>
          <w:lang w:bidi="ar-SA"/>
        </w:rPr>
        <w:t xml:space="preserve"> fibre.</w:t>
      </w:r>
    </w:p>
    <w:p w:rsidR="00257FF0" w:rsidRDefault="00257FF0" w:rsidP="00F14323">
      <w:pPr>
        <w:rPr>
          <w:lang w:bidi="ar-SA"/>
        </w:rPr>
      </w:pPr>
    </w:p>
    <w:p w:rsidR="00F14323" w:rsidRPr="00D7795B" w:rsidRDefault="00F14323" w:rsidP="00F14323">
      <w:r w:rsidRPr="00D7795B">
        <w:t>The Applicant asserts that</w:t>
      </w:r>
      <w:r w:rsidR="00BE3583">
        <w:t>,</w:t>
      </w:r>
      <w:r w:rsidRPr="00D7795B">
        <w:t xml:space="preserve"> as FSANZ’s further consideration of the qualifying criteria was not completed until late 2013, the transition period </w:t>
      </w:r>
      <w:r w:rsidR="00257FF0">
        <w:t xml:space="preserve">available </w:t>
      </w:r>
      <w:r w:rsidRPr="00D7795B">
        <w:t xml:space="preserve">for nutrition content claims about dietary fibre was effectively shortened by 11 months. The Applicant therefore seeks to delay the </w:t>
      </w:r>
      <w:r w:rsidR="00E30908">
        <w:t xml:space="preserve">requirement to comply with </w:t>
      </w:r>
      <w:r w:rsidR="00EA7C97">
        <w:t>the qualifying criteria</w:t>
      </w:r>
      <w:r w:rsidR="00E30908">
        <w:t xml:space="preserve"> </w:t>
      </w:r>
      <w:r w:rsidRPr="00D7795B">
        <w:t xml:space="preserve">for nutrition content claims about dietary fibre for 12 months, that is, </w:t>
      </w:r>
      <w:r w:rsidR="006E165C">
        <w:t>until and including 17</w:t>
      </w:r>
      <w:r w:rsidRPr="00D7795B">
        <w:t xml:space="preserve"> January 2017.</w:t>
      </w:r>
    </w:p>
    <w:p w:rsidR="00F14323" w:rsidRPr="00D7795B" w:rsidRDefault="00F14323" w:rsidP="00F14323">
      <w:pPr>
        <w:pStyle w:val="Heading2"/>
      </w:pPr>
      <w:bookmarkStart w:id="24" w:name="_Toc401663942"/>
      <w:bookmarkStart w:id="25" w:name="_Toc414615572"/>
      <w:r w:rsidRPr="00D7795B">
        <w:t>1.5</w:t>
      </w:r>
      <w:r w:rsidRPr="00D7795B">
        <w:tab/>
        <w:t>Reasons for accepting the Application</w:t>
      </w:r>
      <w:bookmarkEnd w:id="24"/>
      <w:bookmarkEnd w:id="25"/>
    </w:p>
    <w:p w:rsidR="00496C44" w:rsidRDefault="00496C44" w:rsidP="00496C44">
      <w:r w:rsidRPr="00CD4E79">
        <w:t>The Application was accepted for assessment because:</w:t>
      </w:r>
    </w:p>
    <w:p w:rsidR="00C405F7" w:rsidRPr="002E3C78" w:rsidRDefault="00C405F7" w:rsidP="00496C44"/>
    <w:p w:rsidR="002E3C78" w:rsidRPr="005D30A8" w:rsidRDefault="002E3C78" w:rsidP="00496C44">
      <w:pPr>
        <w:pStyle w:val="FSBullet"/>
      </w:pPr>
      <w:r w:rsidRPr="005D30A8">
        <w:t>FSANZ was satisfied that</w:t>
      </w:r>
      <w:r>
        <w:t xml:space="preserve"> </w:t>
      </w:r>
      <w:r w:rsidRPr="00D93544">
        <w:t>information requirements</w:t>
      </w:r>
      <w:r w:rsidR="004811A0">
        <w:t xml:space="preserve"> relating to</w:t>
      </w:r>
      <w:r w:rsidRPr="00D93544">
        <w:t xml:space="preserve"> regulation impact </w:t>
      </w:r>
      <w:r>
        <w:t xml:space="preserve">would best be met by </w:t>
      </w:r>
      <w:r w:rsidRPr="00D93544">
        <w:t>consultation with industry and the public</w:t>
      </w:r>
      <w:r>
        <w:t xml:space="preserve"> following the Application’s acceptance</w:t>
      </w:r>
      <w:r w:rsidRPr="002E3C78">
        <w:t xml:space="preserve">; </w:t>
      </w:r>
    </w:p>
    <w:p w:rsidR="00496C44" w:rsidRPr="00CD4E79" w:rsidRDefault="002E3C78" w:rsidP="002E3C78">
      <w:pPr>
        <w:pStyle w:val="FSBullet"/>
      </w:pPr>
      <w:r>
        <w:t>the Application</w:t>
      </w:r>
      <w:r w:rsidR="00496C44" w:rsidRPr="00CD4E79">
        <w:t xml:space="preserve"> </w:t>
      </w:r>
      <w:r w:rsidRPr="00CD4E79">
        <w:t xml:space="preserve">otherwise </w:t>
      </w:r>
      <w:r w:rsidR="00496C44" w:rsidRPr="00CD4E79">
        <w:t>complied with the procedural requirements under subsection 22(2)</w:t>
      </w:r>
      <w:r w:rsidRPr="00CD4E79">
        <w:t>; and</w:t>
      </w:r>
    </w:p>
    <w:p w:rsidR="00496C44" w:rsidRDefault="00F14323" w:rsidP="00CD4E79">
      <w:pPr>
        <w:pStyle w:val="FSBullet1"/>
      </w:pPr>
      <w:proofErr w:type="gramStart"/>
      <w:r w:rsidRPr="0056667F">
        <w:t>the</w:t>
      </w:r>
      <w:proofErr w:type="gramEnd"/>
      <w:r w:rsidRPr="0056667F">
        <w:t xml:space="preserve"> Application related to a matter that warranted the variation of a food regulatory measure</w:t>
      </w:r>
      <w:r>
        <w:t xml:space="preserve">. </w:t>
      </w:r>
    </w:p>
    <w:p w:rsidR="00DE79D9" w:rsidRDefault="00D3171B" w:rsidP="00DE79D9">
      <w:pPr>
        <w:pStyle w:val="Heading2"/>
      </w:pPr>
      <w:bookmarkStart w:id="26" w:name="_Toc414615573"/>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3"/>
      <w:bookmarkEnd w:id="4"/>
      <w:bookmarkEnd w:id="5"/>
      <w:bookmarkEnd w:id="6"/>
      <w:bookmarkEnd w:id="7"/>
      <w:bookmarkEnd w:id="20"/>
      <w:bookmarkEnd w:id="21"/>
      <w:bookmarkEnd w:id="22"/>
      <w:r>
        <w:t>1</w:t>
      </w:r>
      <w:r w:rsidR="00F14323">
        <w:t>.6</w:t>
      </w:r>
      <w:r w:rsidR="00DE79D9">
        <w:tab/>
        <w:t>Procedure for assessment</w:t>
      </w:r>
      <w:bookmarkEnd w:id="26"/>
    </w:p>
    <w:p w:rsidR="00DE79D9" w:rsidRDefault="00DE79D9" w:rsidP="00DE79D9">
      <w:r w:rsidRPr="00F14323">
        <w:t xml:space="preserve">The Application </w:t>
      </w:r>
      <w:r>
        <w:t xml:space="preserve">is being </w:t>
      </w:r>
      <w:r w:rsidRPr="00932F14">
        <w:t xml:space="preserve">assessed </w:t>
      </w:r>
      <w:r w:rsidRPr="00F14323">
        <w:t>under the General Procedure</w:t>
      </w:r>
      <w:r w:rsidRPr="00932F14">
        <w:t>.</w:t>
      </w:r>
    </w:p>
    <w:p w:rsidR="0052439D" w:rsidRDefault="0052439D" w:rsidP="00180C41">
      <w:r>
        <w:br w:type="page"/>
      </w:r>
    </w:p>
    <w:p w:rsidR="00AF387F" w:rsidRPr="00180C41" w:rsidRDefault="00D3171B" w:rsidP="00180C41">
      <w:pPr>
        <w:pStyle w:val="Heading1"/>
      </w:pPr>
      <w:bookmarkStart w:id="34" w:name="_Toc300933424"/>
      <w:bookmarkStart w:id="35" w:name="_Toc414615574"/>
      <w:r>
        <w:lastRenderedPageBreak/>
        <w:t>2</w:t>
      </w:r>
      <w:r w:rsidR="001542D8">
        <w:tab/>
      </w:r>
      <w:r w:rsidR="00350DBD">
        <w:t>S</w:t>
      </w:r>
      <w:r w:rsidR="00FB1533">
        <w:t>ummary of the a</w:t>
      </w:r>
      <w:r w:rsidR="00FD2FBE">
        <w:t>ssessment</w:t>
      </w:r>
      <w:bookmarkEnd w:id="27"/>
      <w:bookmarkEnd w:id="34"/>
      <w:bookmarkEnd w:id="35"/>
    </w:p>
    <w:p w:rsidR="00F33BB8" w:rsidRPr="00D40221" w:rsidRDefault="00D3171B" w:rsidP="0072150F">
      <w:pPr>
        <w:pStyle w:val="Heading2"/>
      </w:pPr>
      <w:bookmarkStart w:id="36" w:name="_Toc300933438"/>
      <w:bookmarkStart w:id="37" w:name="_Toc414615575"/>
      <w:bookmarkStart w:id="38" w:name="_Toc286391009"/>
      <w:bookmarkStart w:id="39" w:name="_Toc300933425"/>
      <w:bookmarkStart w:id="40" w:name="_Toc120358583"/>
      <w:bookmarkStart w:id="41" w:name="_Toc175381440"/>
      <w:r w:rsidRPr="00D40221">
        <w:t>2</w:t>
      </w:r>
      <w:r w:rsidR="00F33BB8" w:rsidRPr="00D40221">
        <w:t>.1</w:t>
      </w:r>
      <w:r w:rsidR="00F33BB8" w:rsidRPr="00D40221">
        <w:tab/>
        <w:t xml:space="preserve">Summary of </w:t>
      </w:r>
      <w:bookmarkEnd w:id="36"/>
      <w:r w:rsidR="00EC767F">
        <w:t>issues raised in submissions</w:t>
      </w:r>
      <w:bookmarkEnd w:id="37"/>
    </w:p>
    <w:p w:rsidR="00EC767F" w:rsidRDefault="000E35D0" w:rsidP="003D43F8">
      <w:pPr>
        <w:rPr>
          <w:lang w:bidi="ar-SA"/>
        </w:rPr>
      </w:pPr>
      <w:r>
        <w:t>A</w:t>
      </w:r>
      <w:r w:rsidR="00CE56CC">
        <w:t xml:space="preserve">n initial round of </w:t>
      </w:r>
      <w:r>
        <w:t xml:space="preserve">public </w:t>
      </w:r>
      <w:r w:rsidRPr="00D81A56">
        <w:t xml:space="preserve">consultation </w:t>
      </w:r>
      <w:r>
        <w:t>was</w:t>
      </w:r>
      <w:r w:rsidRPr="00D81A56">
        <w:t xml:space="preserve"> undertaken</w:t>
      </w:r>
      <w:r>
        <w:t xml:space="preserve"> in </w:t>
      </w:r>
      <w:r w:rsidR="007215AE">
        <w:t>October</w:t>
      </w:r>
      <w:r>
        <w:t xml:space="preserve"> 2014 to gather </w:t>
      </w:r>
      <w:r>
        <w:rPr>
          <w:lang w:bidi="ar-SA"/>
        </w:rPr>
        <w:t>cost</w:t>
      </w:r>
      <w:r>
        <w:rPr>
          <w:lang w:bidi="ar-SA"/>
        </w:rPr>
        <w:noBreakHyphen/>
      </w:r>
      <w:r w:rsidRPr="00D7795B">
        <w:rPr>
          <w:lang w:bidi="ar-SA"/>
        </w:rPr>
        <w:t>benefit information</w:t>
      </w:r>
      <w:r w:rsidR="002152DC">
        <w:rPr>
          <w:lang w:bidi="ar-SA"/>
        </w:rPr>
        <w:t xml:space="preserve"> and seek stakeholder views</w:t>
      </w:r>
      <w:r>
        <w:rPr>
          <w:lang w:bidi="ar-SA"/>
        </w:rPr>
        <w:t xml:space="preserve">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rsidR="00EC767F">
        <w:t>.</w:t>
      </w:r>
    </w:p>
    <w:p w:rsidR="00EC767F" w:rsidRDefault="00EC767F" w:rsidP="003D43F8">
      <w:pPr>
        <w:rPr>
          <w:lang w:bidi="ar-SA"/>
        </w:rPr>
      </w:pPr>
    </w:p>
    <w:p w:rsidR="00EC767F" w:rsidRDefault="003D43F8" w:rsidP="003D43F8">
      <w:r w:rsidRPr="0041561F">
        <w:t>Ten submission</w:t>
      </w:r>
      <w:r>
        <w:t>s were received</w:t>
      </w:r>
      <w:r w:rsidR="00EC767F">
        <w:t>.</w:t>
      </w:r>
      <w:r w:rsidR="00EC767F">
        <w:rPr>
          <w:rStyle w:val="FootnoteReference"/>
        </w:rPr>
        <w:footnoteReference w:id="4"/>
      </w:r>
      <w:r w:rsidR="00EC767F">
        <w:t xml:space="preserve"> </w:t>
      </w:r>
      <w:r w:rsidR="008453CC">
        <w:t>Five were from food businesses or bodies representing food businesses, three were from public health organisations and two were from jurisdictions. Of the ten submitters, seven supported the propos</w:t>
      </w:r>
      <w:r w:rsidR="00616EC4">
        <w:t xml:space="preserve">ed delay in the </w:t>
      </w:r>
      <w:r w:rsidR="00E30908">
        <w:t xml:space="preserve">requirement to comply with </w:t>
      </w:r>
      <w:r w:rsidR="00EA7C97">
        <w:t>the qualifying criteria</w:t>
      </w:r>
      <w:r w:rsidR="00E30908">
        <w:t xml:space="preserve"> </w:t>
      </w:r>
      <w:r w:rsidR="00404B08">
        <w:t xml:space="preserve">for </w:t>
      </w:r>
      <w:r w:rsidR="008453CC">
        <w:t>nutrition content claims about dietary fibre.</w:t>
      </w:r>
    </w:p>
    <w:p w:rsidR="008453CC" w:rsidRDefault="008453CC" w:rsidP="003D43F8"/>
    <w:p w:rsidR="008453CC" w:rsidRDefault="008453CC" w:rsidP="003D43F8">
      <w:r>
        <w:t>A summary of issues raised by submitters and the FSANZ response are provided in Table 2.</w:t>
      </w:r>
    </w:p>
    <w:p w:rsidR="008453CC" w:rsidRDefault="008453CC" w:rsidP="008453CC">
      <w:r>
        <w:t xml:space="preserve">Cost data </w:t>
      </w:r>
      <w:r w:rsidR="00DB57FA">
        <w:t>provided by three submitters are</w:t>
      </w:r>
      <w:r>
        <w:t xml:space="preserve"> </w:t>
      </w:r>
      <w:r w:rsidR="00616EC4">
        <w:t>provided</w:t>
      </w:r>
      <w:r>
        <w:t xml:space="preserve"> in </w:t>
      </w:r>
      <w:r w:rsidR="00616EC4">
        <w:t>section 2.3.</w:t>
      </w:r>
    </w:p>
    <w:p w:rsidR="008453CC" w:rsidRDefault="008453CC" w:rsidP="008453CC"/>
    <w:p w:rsidR="00640EFA" w:rsidRDefault="008453CC" w:rsidP="008453CC">
      <w:r>
        <w:t>Overall, those in support of the dela</w:t>
      </w:r>
      <w:r w:rsidR="008C3374">
        <w:t xml:space="preserve">y in </w:t>
      </w:r>
      <w:r w:rsidR="00CD4E79">
        <w:t>the requirement to comply with the qualifying criteria</w:t>
      </w:r>
      <w:r w:rsidR="00404B08">
        <w:t xml:space="preserve"> for nutrition content claims about dietary fibre</w:t>
      </w:r>
      <w:r w:rsidR="00CD4E79">
        <w:t xml:space="preserve"> </w:t>
      </w:r>
      <w:r w:rsidR="008C3374">
        <w:t>noted</w:t>
      </w:r>
      <w:r>
        <w:t xml:space="preserve"> that </w:t>
      </w:r>
      <w:r w:rsidR="002E3C78">
        <w:t xml:space="preserve">industry’s </w:t>
      </w:r>
      <w:r w:rsidR="005D30A8">
        <w:t>decision</w:t>
      </w:r>
      <w:r w:rsidR="002E3C78">
        <w:t xml:space="preserve"> to await</w:t>
      </w:r>
      <w:r w:rsidR="008C3374">
        <w:t xml:space="preserve"> </w:t>
      </w:r>
      <w:r w:rsidR="002109C4">
        <w:t xml:space="preserve">the </w:t>
      </w:r>
      <w:r w:rsidR="008C3374">
        <w:t xml:space="preserve">FSANZ </w:t>
      </w:r>
      <w:r w:rsidR="002E3C78">
        <w:t xml:space="preserve">review </w:t>
      </w:r>
      <w:r w:rsidR="008C3374">
        <w:t xml:space="preserve">of the qualifying criteria in 2013 led to </w:t>
      </w:r>
      <w:r w:rsidR="00CB41B3">
        <w:t>a</w:t>
      </w:r>
      <w:r w:rsidR="002E3C78">
        <w:t>n</w:t>
      </w:r>
      <w:r w:rsidR="00CB41B3">
        <w:t xml:space="preserve"> 1</w:t>
      </w:r>
      <w:r w:rsidR="00D71312">
        <w:t>1</w:t>
      </w:r>
      <w:r w:rsidR="00CB41B3">
        <w:t xml:space="preserve"> month delay</w:t>
      </w:r>
      <w:r w:rsidR="008C3374">
        <w:t xml:space="preserve"> in changing products and/or labels</w:t>
      </w:r>
      <w:r w:rsidR="00CD4E79">
        <w:t>.</w:t>
      </w:r>
      <w:r w:rsidR="002109C4">
        <w:t xml:space="preserve"> </w:t>
      </w:r>
      <w:r w:rsidR="00117AB3">
        <w:t>T</w:t>
      </w:r>
      <w:r w:rsidR="00640EFA">
        <w:t>herefore</w:t>
      </w:r>
      <w:r w:rsidR="00117AB3">
        <w:t>, submitters consider</w:t>
      </w:r>
      <w:r w:rsidR="00640EFA">
        <w:t xml:space="preserve"> an </w:t>
      </w:r>
      <w:r>
        <w:t xml:space="preserve">additional </w:t>
      </w:r>
      <w:r w:rsidR="00CC6B8D">
        <w:t>12 months</w:t>
      </w:r>
      <w:r w:rsidR="00117AB3">
        <w:t xml:space="preserve"> transition time is needed to </w:t>
      </w:r>
      <w:r w:rsidR="00CC6B8D">
        <w:t xml:space="preserve">reduce </w:t>
      </w:r>
      <w:r w:rsidR="00117AB3">
        <w:t xml:space="preserve">compliance </w:t>
      </w:r>
      <w:r w:rsidR="00CC6B8D">
        <w:t>costs</w:t>
      </w:r>
      <w:r w:rsidR="00117AB3">
        <w:t>, particularly</w:t>
      </w:r>
      <w:r w:rsidR="00CC6B8D">
        <w:t xml:space="preserve"> </w:t>
      </w:r>
      <w:r w:rsidR="00117AB3">
        <w:t>for anticipated</w:t>
      </w:r>
      <w:r w:rsidR="00CC6B8D">
        <w:t xml:space="preserve"> product withdrawal</w:t>
      </w:r>
      <w:r w:rsidR="00640EFA">
        <w:t>s</w:t>
      </w:r>
      <w:r w:rsidR="00CC6B8D">
        <w:t xml:space="preserve"> </w:t>
      </w:r>
      <w:r w:rsidR="004D4B40">
        <w:t>and pack</w:t>
      </w:r>
      <w:r w:rsidR="00640EFA">
        <w:t>ag</w:t>
      </w:r>
      <w:r w:rsidR="004D4B40">
        <w:t xml:space="preserve">ing write off (refer to </w:t>
      </w:r>
      <w:r w:rsidR="004D4B40" w:rsidRPr="00616EC4">
        <w:t xml:space="preserve">section </w:t>
      </w:r>
      <w:r w:rsidR="00051BD7" w:rsidRPr="00616EC4">
        <w:t>2.</w:t>
      </w:r>
      <w:r w:rsidR="00616EC4" w:rsidRPr="00616EC4">
        <w:t>3</w:t>
      </w:r>
      <w:r w:rsidR="004D4B40" w:rsidRPr="00616EC4">
        <w:t xml:space="preserve"> for</w:t>
      </w:r>
      <w:r w:rsidR="004D4B40">
        <w:t xml:space="preserve"> details)</w:t>
      </w:r>
      <w:r w:rsidR="008C3374">
        <w:t>.</w:t>
      </w:r>
    </w:p>
    <w:p w:rsidR="00640EFA" w:rsidRDefault="00640EFA" w:rsidP="003D43F8"/>
    <w:p w:rsidR="003A143C" w:rsidRDefault="00857BF5" w:rsidP="003D43F8">
      <w:r>
        <w:t>Submitters not supporting the</w:t>
      </w:r>
      <w:r w:rsidRPr="00857BF5">
        <w:t xml:space="preserve"> </w:t>
      </w:r>
      <w:r>
        <w:t xml:space="preserve">delay in </w:t>
      </w:r>
      <w:r w:rsidR="00CD4E79">
        <w:t>the requirement to comply with the qualifying criteria</w:t>
      </w:r>
      <w:r w:rsidR="00404B08">
        <w:t xml:space="preserve"> for nutrition content claims about dietary fibre</w:t>
      </w:r>
      <w:r>
        <w:t xml:space="preserve"> considered that two years from December 2013 should be sufficient time to make product and/or label change</w:t>
      </w:r>
      <w:r w:rsidR="003A143C">
        <w:t>s to comply with Standard 1.2.7. They also noted that label changes could likely be combined with other labelling changes made over the two year period, thereby minimising the cost of compliance.</w:t>
      </w:r>
    </w:p>
    <w:p w:rsidR="0081484A" w:rsidRDefault="0081484A" w:rsidP="003D43F8"/>
    <w:p w:rsidR="003D43F8" w:rsidRPr="003D43F8" w:rsidRDefault="003A143C" w:rsidP="003D43F8">
      <w:pPr>
        <w:rPr>
          <w:lang w:bidi="ar-SA"/>
        </w:rPr>
        <w:sectPr w:rsidR="003D43F8" w:rsidRPr="003D43F8" w:rsidSect="0008451B">
          <w:footerReference w:type="default" r:id="rId21"/>
          <w:pgSz w:w="11906" w:h="16838"/>
          <w:pgMar w:top="1440" w:right="1440" w:bottom="1440" w:left="1440" w:header="708" w:footer="708" w:gutter="0"/>
          <w:pgNumType w:start="1"/>
          <w:cols w:space="708"/>
          <w:docGrid w:linePitch="360"/>
        </w:sectPr>
      </w:pPr>
      <w:r>
        <w:t>Some submitters made comments about the level of the qualifying criteria for nutrition content claims about dietary fibre. FSANZ considers this topic is out of the scope of the Application.</w:t>
      </w:r>
      <w:r w:rsidR="0043542B">
        <w:br/>
      </w:r>
    </w:p>
    <w:p w:rsidR="003D43F8" w:rsidRPr="001048BF" w:rsidRDefault="008453CC" w:rsidP="003D43F8">
      <w:pPr>
        <w:pStyle w:val="FSTableTitle"/>
        <w:spacing w:after="120"/>
      </w:pPr>
      <w:r w:rsidRPr="001048BF">
        <w:lastRenderedPageBreak/>
        <w:t>Table 2</w:t>
      </w:r>
      <w:r w:rsidR="003D43F8" w:rsidRPr="001048BF">
        <w:t xml:space="preserve">: Summary of </w:t>
      </w:r>
      <w:r w:rsidR="00EC767F" w:rsidRPr="001048BF">
        <w:t>issues</w:t>
      </w:r>
      <w:r w:rsidR="003D43F8" w:rsidRPr="001048BF">
        <w:t xml:space="preserve"> </w:t>
      </w:r>
      <w:r w:rsidR="0080629E" w:rsidRPr="001048BF">
        <w:t>from</w:t>
      </w:r>
      <w:r w:rsidRPr="001048BF">
        <w:t xml:space="preserve"> submissions</w:t>
      </w:r>
    </w:p>
    <w:tbl>
      <w:tblPr>
        <w:tblStyle w:val="MediumShading1-Accent3"/>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925"/>
        <w:gridCol w:w="5030"/>
        <w:gridCol w:w="4781"/>
      </w:tblGrid>
      <w:tr w:rsidR="001048BF" w:rsidRPr="001048BF" w:rsidTr="00FA2C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F4E8B" w:rsidRPr="001048BF" w:rsidRDefault="00AF4E8B" w:rsidP="00401DBD">
            <w:pPr>
              <w:spacing w:after="240"/>
              <w:rPr>
                <w:rFonts w:cs="Arial"/>
                <w:color w:val="auto"/>
                <w:sz w:val="18"/>
                <w:szCs w:val="18"/>
              </w:rPr>
            </w:pPr>
            <w:r w:rsidRPr="001048BF">
              <w:rPr>
                <w:rFonts w:cs="Arial"/>
                <w:color w:val="auto"/>
                <w:sz w:val="18"/>
                <w:szCs w:val="18"/>
              </w:rPr>
              <w:t>Submitter</w:t>
            </w:r>
          </w:p>
        </w:tc>
        <w:tc>
          <w:tcPr>
            <w:tcW w:w="193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F4E8B" w:rsidRPr="001048BF" w:rsidRDefault="00AF4E8B" w:rsidP="002109C4">
            <w:pPr>
              <w:spacing w:after="240"/>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1048BF">
              <w:rPr>
                <w:rFonts w:cs="Arial"/>
                <w:color w:val="auto"/>
                <w:sz w:val="18"/>
                <w:szCs w:val="18"/>
              </w:rPr>
              <w:t xml:space="preserve">Support for </w:t>
            </w:r>
            <w:r w:rsidR="00640EFA" w:rsidRPr="001048BF">
              <w:rPr>
                <w:rFonts w:cs="Arial"/>
                <w:color w:val="auto"/>
                <w:sz w:val="18"/>
                <w:szCs w:val="18"/>
              </w:rPr>
              <w:t xml:space="preserve">delay in </w:t>
            </w:r>
            <w:r w:rsidR="00E30908">
              <w:rPr>
                <w:rFonts w:cs="Arial"/>
                <w:color w:val="auto"/>
                <w:sz w:val="18"/>
                <w:szCs w:val="18"/>
              </w:rPr>
              <w:t xml:space="preserve">requirement to comply </w:t>
            </w:r>
            <w:r w:rsidR="00A26250">
              <w:rPr>
                <w:rFonts w:cs="Arial"/>
                <w:color w:val="auto"/>
                <w:sz w:val="18"/>
                <w:szCs w:val="18"/>
              </w:rPr>
              <w:t xml:space="preserve">with </w:t>
            </w:r>
            <w:r w:rsidR="002109C4">
              <w:rPr>
                <w:rFonts w:cs="Arial"/>
                <w:color w:val="auto"/>
                <w:sz w:val="18"/>
                <w:szCs w:val="18"/>
              </w:rPr>
              <w:t>the qualifying criteria for nutrition content claims about dietary fibre</w:t>
            </w:r>
          </w:p>
        </w:tc>
        <w:tc>
          <w:tcPr>
            <w:tcW w:w="510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F4E8B" w:rsidRPr="001048BF" w:rsidRDefault="00AF4E8B" w:rsidP="00401DBD">
            <w:pPr>
              <w:spacing w:after="240"/>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1048BF">
              <w:rPr>
                <w:rFonts w:cs="Arial"/>
                <w:color w:val="auto"/>
                <w:sz w:val="18"/>
                <w:szCs w:val="18"/>
              </w:rPr>
              <w:t>Issues</w:t>
            </w:r>
          </w:p>
        </w:tc>
        <w:tc>
          <w:tcPr>
            <w:tcW w:w="4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F4E8B" w:rsidRPr="001048BF" w:rsidRDefault="00AF4E8B" w:rsidP="00401DBD">
            <w:pPr>
              <w:spacing w:after="240"/>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1048BF">
              <w:rPr>
                <w:rFonts w:cs="Arial"/>
                <w:color w:val="auto"/>
                <w:sz w:val="18"/>
                <w:szCs w:val="18"/>
              </w:rPr>
              <w:t>FSANZ Response</w:t>
            </w:r>
          </w:p>
        </w:tc>
      </w:tr>
      <w:tr w:rsidR="00AA2699"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val="restart"/>
            <w:tcBorders>
              <w:top w:val="single" w:sz="4" w:space="0" w:color="auto"/>
              <w:right w:val="single" w:sz="4" w:space="0" w:color="auto"/>
            </w:tcBorders>
          </w:tcPr>
          <w:p w:rsidR="00AA2699" w:rsidRPr="00AA2699" w:rsidRDefault="00AA2699" w:rsidP="00FA2C60">
            <w:pPr>
              <w:pStyle w:val="Table2"/>
            </w:pPr>
            <w:r w:rsidRPr="00AA2699">
              <w:t>Cancer Council Australia</w:t>
            </w:r>
          </w:p>
          <w:p w:rsidR="00AA2699" w:rsidRPr="00AA2699" w:rsidRDefault="00AA2699" w:rsidP="00FA2C60">
            <w:pPr>
              <w:pStyle w:val="Table2"/>
            </w:pPr>
            <w:r w:rsidRPr="00AA2699">
              <w:t>Cancer Council New Zealand</w:t>
            </w:r>
          </w:p>
        </w:tc>
        <w:tc>
          <w:tcPr>
            <w:tcW w:w="1939" w:type="dxa"/>
            <w:vMerge w:val="restart"/>
            <w:tcBorders>
              <w:top w:val="single" w:sz="4" w:space="0" w:color="auto"/>
              <w:left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pPr>
            <w:r w:rsidRPr="00AA2699">
              <w:t>No, does not support</w:t>
            </w:r>
          </w:p>
        </w:tc>
        <w:tc>
          <w:tcPr>
            <w:tcW w:w="5103" w:type="dxa"/>
            <w:tcBorders>
              <w:top w:val="single" w:sz="4" w:space="0" w:color="auto"/>
              <w:left w:val="single" w:sz="4" w:space="0" w:color="auto"/>
              <w:bottom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pPr>
            <w:r w:rsidRPr="00AA2699">
              <w:t xml:space="preserve">Three-year transition period has provided ample time for food businesses to consider the implications of Standard 1.2.7 for their product range. This is a year longer than the 2-year transition period generally applied to other food standards. Still have another 12 months. Companies should not have ‘stopped the clock’ on their work while the FSANZ review was underway in 2013. Consider that the absence of new evidence to justify lowering the criteria meant there was no reason for FSANZ to change the criteria. Therefore there was no reason for industry to assume that FSANZ would change the criteria. </w:t>
            </w:r>
          </w:p>
        </w:tc>
        <w:tc>
          <w:tcPr>
            <w:tcW w:w="4852" w:type="dxa"/>
            <w:tcBorders>
              <w:top w:val="single" w:sz="4" w:space="0" w:color="auto"/>
              <w:left w:val="single" w:sz="4" w:space="0" w:color="auto"/>
            </w:tcBorders>
          </w:tcPr>
          <w:p w:rsidR="00AA2699" w:rsidRPr="00AA2699" w:rsidRDefault="00BD52F6" w:rsidP="00FA2C60">
            <w:pPr>
              <w:pStyle w:val="Table2"/>
              <w:cnfStyle w:val="000000100000" w:firstRow="0" w:lastRow="0" w:firstColumn="0" w:lastColumn="0" w:oddVBand="0" w:evenVBand="0" w:oddHBand="1" w:evenHBand="0" w:firstRowFirstColumn="0" w:firstRowLastColumn="0" w:lastRowFirstColumn="0" w:lastRowLastColumn="0"/>
            </w:pPr>
            <w:r>
              <w:t xml:space="preserve">A three-year transition period was provided for Standard 1.2.7, instead of a two-year transition period, as the </w:t>
            </w:r>
            <w:r w:rsidR="00B81481">
              <w:t xml:space="preserve">2012 updated </w:t>
            </w:r>
            <w:r>
              <w:t>cost-benefit analysis indicated that compliance costs could be reduced</w:t>
            </w:r>
            <w:r w:rsidR="00B81481">
              <w:t xml:space="preserve"> </w:t>
            </w:r>
            <w:r>
              <w:t>with the longer time period</w:t>
            </w:r>
            <w:r w:rsidR="00404B08">
              <w:t xml:space="preserve"> and that </w:t>
            </w:r>
            <w:r w:rsidR="00D22328">
              <w:t>t</w:t>
            </w:r>
            <w:r w:rsidR="00404B08">
              <w:t>he estimated overall n</w:t>
            </w:r>
            <w:r w:rsidR="00D22328">
              <w:t>e</w:t>
            </w:r>
            <w:r w:rsidR="00404B08">
              <w:t xml:space="preserve">t benefit </w:t>
            </w:r>
            <w:r w:rsidR="00D22328">
              <w:t xml:space="preserve">from Standard 1,2,7 </w:t>
            </w:r>
            <w:r w:rsidR="00404B08">
              <w:t>would be higher</w:t>
            </w:r>
            <w:r w:rsidR="00B81481">
              <w:t>.</w:t>
            </w:r>
            <w:r w:rsidR="00B81481">
              <w:rPr>
                <w:rStyle w:val="FootnoteReference"/>
                <w:rFonts w:cs="Arial"/>
                <w:szCs w:val="18"/>
              </w:rPr>
              <w:footnoteReference w:id="5"/>
            </w:r>
            <w:r>
              <w:t xml:space="preserve">                                                                                                                                                                                                                                                                                                                                                                     </w:t>
            </w:r>
            <w:r w:rsidR="00AA2699" w:rsidRPr="00AA2699">
              <w:t>FSANZ understands that some food businesses made a decision to wait until consideration of the qualifying criteria was completed in 2013, in order to avoid relabelling costs in the event that the criteria in Standard 1.2.7 were not maintained. Other businesses decided to proceed with labelling and/or formulation changes to comply with the Standard.</w:t>
            </w:r>
            <w:r w:rsidR="007E7719">
              <w:t xml:space="preserve"> </w:t>
            </w:r>
          </w:p>
        </w:tc>
      </w:tr>
      <w:tr w:rsidR="00AA2699"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AA2699" w:rsidRPr="00AA2699" w:rsidRDefault="00AA2699" w:rsidP="00FA2C60">
            <w:pPr>
              <w:pStyle w:val="Table2"/>
            </w:pPr>
          </w:p>
        </w:tc>
        <w:tc>
          <w:tcPr>
            <w:tcW w:w="1939" w:type="dxa"/>
            <w:vMerge/>
            <w:tcBorders>
              <w:left w:val="single" w:sz="4" w:space="0" w:color="auto"/>
              <w:righ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p>
        </w:tc>
        <w:tc>
          <w:tcPr>
            <w:tcW w:w="5103" w:type="dxa"/>
            <w:tcBorders>
              <w:left w:val="single" w:sz="4" w:space="0" w:color="auto"/>
              <w:bottom w:val="single" w:sz="4" w:space="0" w:color="auto"/>
              <w:righ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 xml:space="preserve">There is evidence that a diet high in fibre can decrease the risk of bowel and oesophageal cancer, obesity, type </w:t>
            </w:r>
            <w:proofErr w:type="gramStart"/>
            <w:r w:rsidRPr="00AA2699">
              <w:t>2 diabetes</w:t>
            </w:r>
            <w:proofErr w:type="gramEnd"/>
            <w:r w:rsidRPr="00AA2699">
              <w:t xml:space="preserve"> and cardiovascular disease. Consumers should therefore expect that any product making a dietary fibre claim makes a significant contribution to their adequate intake of dietary fibre. Retention of current transition period is one small step that may help consumers choose healthier foods.</w:t>
            </w:r>
          </w:p>
        </w:tc>
        <w:tc>
          <w:tcPr>
            <w:tcW w:w="4852" w:type="dxa"/>
            <w:tcBorders>
              <w:lef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 xml:space="preserve">We note that a delay in the </w:t>
            </w:r>
            <w:r w:rsidR="00E30908">
              <w:t xml:space="preserve">requirement to comply with </w:t>
            </w:r>
            <w:r w:rsidR="002F7F15">
              <w:t>the qualifying criteria for nutrition content claims about</w:t>
            </w:r>
            <w:r w:rsidR="00E30908">
              <w:t xml:space="preserve"> </w:t>
            </w:r>
            <w:r w:rsidRPr="00AA2699">
              <w:t xml:space="preserve">dietary fibre may result in some foods carrying </w:t>
            </w:r>
            <w:r w:rsidR="002F7F15">
              <w:t>these</w:t>
            </w:r>
            <w:r w:rsidR="00B97696">
              <w:t xml:space="preserve"> </w:t>
            </w:r>
            <w:r w:rsidRPr="00AA2699">
              <w:t>claims having lower levels of dietary fibre for a further 12 months. However,</w:t>
            </w:r>
            <w:r w:rsidR="00B97696">
              <w:t xml:space="preserve"> given some of the foods involved will have a shelf-life of several months,</w:t>
            </w:r>
            <w:r w:rsidRPr="00AA2699">
              <w:t xml:space="preserve"> it is likely </w:t>
            </w:r>
            <w:r w:rsidR="00616EC4">
              <w:t>that food businesses will</w:t>
            </w:r>
            <w:r w:rsidRPr="00AA2699">
              <w:t xml:space="preserve"> </w:t>
            </w:r>
            <w:r w:rsidR="00BA3DA7">
              <w:t xml:space="preserve">phase-in </w:t>
            </w:r>
            <w:r w:rsidRPr="00AA2699">
              <w:t>compl</w:t>
            </w:r>
            <w:r w:rsidR="00BA3DA7">
              <w:t>iance</w:t>
            </w:r>
            <w:r w:rsidRPr="00AA2699">
              <w:t xml:space="preserve"> with the </w:t>
            </w:r>
            <w:r w:rsidR="00B97696">
              <w:t>new</w:t>
            </w:r>
            <w:r w:rsidR="002E3277">
              <w:t xml:space="preserve"> </w:t>
            </w:r>
            <w:r w:rsidRPr="00AA2699">
              <w:t xml:space="preserve">requirements during a 12 month extension to the transition period. </w:t>
            </w:r>
          </w:p>
        </w:tc>
      </w:tr>
      <w:tr w:rsidR="00AA2699"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AA2699" w:rsidRPr="00AA2699" w:rsidRDefault="00AA2699" w:rsidP="00FA2C60">
            <w:pPr>
              <w:pStyle w:val="Table2"/>
            </w:pPr>
          </w:p>
        </w:tc>
        <w:tc>
          <w:tcPr>
            <w:tcW w:w="1939" w:type="dxa"/>
            <w:vMerge/>
            <w:tcBorders>
              <w:left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pPr>
          </w:p>
        </w:tc>
        <w:tc>
          <w:tcPr>
            <w:tcW w:w="5103" w:type="dxa"/>
            <w:tcBorders>
              <w:left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pPr>
            <w:r w:rsidRPr="00AA2699">
              <w:t>As food companies regularly change product packaging as new competitions and promotions are introduced, there is no reason why an extension should be granted when manufacturers are making other voluntary labelling changes over this period.</w:t>
            </w:r>
          </w:p>
        </w:tc>
        <w:tc>
          <w:tcPr>
            <w:tcW w:w="4852" w:type="dxa"/>
            <w:tcBorders>
              <w:lef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pPr>
            <w:r w:rsidRPr="00AA2699">
              <w:t>According to submissions, some food businesses are able to combine labelling changes related to nutrition content claims about dietary fibre over the next 12 months while others are not. Note that the major cost appears to be for packaging write-off.</w:t>
            </w:r>
          </w:p>
        </w:tc>
      </w:tr>
      <w:tr w:rsidR="00E17E0E"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tcBorders>
              <w:right w:val="none" w:sz="0" w:space="0" w:color="auto"/>
            </w:tcBorders>
          </w:tcPr>
          <w:p w:rsidR="00E17E0E" w:rsidRPr="00AA2699" w:rsidRDefault="00AA2699" w:rsidP="00FA2C60">
            <w:pPr>
              <w:pStyle w:val="Table2"/>
            </w:pPr>
            <w:r w:rsidRPr="00AA2699">
              <w:lastRenderedPageBreak/>
              <w:t>Dietitians Association of Australia</w:t>
            </w:r>
          </w:p>
        </w:tc>
        <w:tc>
          <w:tcPr>
            <w:tcW w:w="1939" w:type="dxa"/>
            <w:tcBorders>
              <w:left w:val="none" w:sz="0" w:space="0" w:color="auto"/>
              <w:right w:val="none" w:sz="0" w:space="0" w:color="auto"/>
            </w:tcBorders>
          </w:tcPr>
          <w:p w:rsidR="00E17E0E"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Yes, does support</w:t>
            </w:r>
          </w:p>
        </w:tc>
        <w:tc>
          <w:tcPr>
            <w:tcW w:w="5103" w:type="dxa"/>
            <w:tcBorders>
              <w:left w:val="none" w:sz="0" w:space="0" w:color="auto"/>
              <w:right w:val="none" w:sz="0" w:space="0" w:color="auto"/>
            </w:tcBorders>
          </w:tcPr>
          <w:p w:rsidR="00E17E0E" w:rsidRPr="00AA2699" w:rsidRDefault="00B97696" w:rsidP="00FA2C60">
            <w:pPr>
              <w:pStyle w:val="Table2"/>
              <w:cnfStyle w:val="000000010000" w:firstRow="0" w:lastRow="0" w:firstColumn="0" w:lastColumn="0" w:oddVBand="0" w:evenVBand="0" w:oddHBand="0" w:evenHBand="1" w:firstRowFirstColumn="0" w:firstRowLastColumn="0" w:lastRowFirstColumn="0" w:lastRowLastColumn="0"/>
            </w:pPr>
            <w:r>
              <w:t>Did not support the qualifying criteria in Standard 1.2.7 as considered more work was required to provide evidence base on which to make a decision. Therefore support the delay. However, w</w:t>
            </w:r>
            <w:r w:rsidR="00E17E0E" w:rsidRPr="00AA2699">
              <w:t xml:space="preserve">ith the </w:t>
            </w:r>
            <w:r>
              <w:t>delay</w:t>
            </w:r>
            <w:r w:rsidR="00E17E0E" w:rsidRPr="00AA2699">
              <w:t xml:space="preserve"> there may be claims based on the old and new criteria in the market at the same time which may cause consumer confusion. Suggests FSANZ communicate this to consumers via the FSANZ website.</w:t>
            </w:r>
          </w:p>
        </w:tc>
        <w:tc>
          <w:tcPr>
            <w:tcW w:w="4852" w:type="dxa"/>
            <w:tcBorders>
              <w:left w:val="none" w:sz="0" w:space="0" w:color="auto"/>
            </w:tcBorders>
          </w:tcPr>
          <w:p w:rsidR="00E17E0E" w:rsidRPr="00AA2699" w:rsidRDefault="00302BDB" w:rsidP="00FA2C60">
            <w:pPr>
              <w:pStyle w:val="Table2"/>
              <w:cnfStyle w:val="000000010000" w:firstRow="0" w:lastRow="0" w:firstColumn="0" w:lastColumn="0" w:oddVBand="0" w:evenVBand="0" w:oddHBand="0" w:evenHBand="1" w:firstRowFirstColumn="0" w:firstRowLastColumn="0" w:lastRowFirstColumn="0" w:lastRowLastColumn="0"/>
            </w:pPr>
            <w:r w:rsidRPr="00AA2699">
              <w:t>This is the situation during the current transi</w:t>
            </w:r>
            <w:r w:rsidR="00E967F6" w:rsidRPr="00AA2699">
              <w:t>tion period for Standard 1.2.7</w:t>
            </w:r>
            <w:r w:rsidR="00B97696">
              <w:t>, that is, some foods with nutrition content claims about dietary fibre comply with the qualifying criteria in Standard 1.2.7 and others do not</w:t>
            </w:r>
            <w:r w:rsidR="00E967F6" w:rsidRPr="00AA2699">
              <w:t xml:space="preserve">. </w:t>
            </w:r>
            <w:r w:rsidR="000869AD" w:rsidRPr="00AA2699">
              <w:t xml:space="preserve">FSANZ will consider </w:t>
            </w:r>
            <w:r w:rsidR="005401C8" w:rsidRPr="00AA2699">
              <w:t xml:space="preserve">if there is </w:t>
            </w:r>
            <w:r w:rsidR="00045E51" w:rsidRPr="00AA2699">
              <w:t xml:space="preserve">a need to </w:t>
            </w:r>
            <w:r w:rsidR="000869AD" w:rsidRPr="00AA2699">
              <w:t>provid</w:t>
            </w:r>
            <w:r w:rsidR="00045E51" w:rsidRPr="00AA2699">
              <w:t xml:space="preserve">e </w:t>
            </w:r>
            <w:r w:rsidR="000869AD" w:rsidRPr="00AA2699">
              <w:t xml:space="preserve">information </w:t>
            </w:r>
            <w:r w:rsidR="00045E51" w:rsidRPr="00AA2699">
              <w:t xml:space="preserve">to </w:t>
            </w:r>
            <w:r w:rsidR="000869AD" w:rsidRPr="00AA2699">
              <w:t xml:space="preserve">consumers if the </w:t>
            </w:r>
            <w:r w:rsidR="00B97696">
              <w:t xml:space="preserve">delay </w:t>
            </w:r>
            <w:r w:rsidR="000869AD" w:rsidRPr="00AA2699">
              <w:t>proceeds.</w:t>
            </w:r>
          </w:p>
        </w:tc>
      </w:tr>
      <w:tr w:rsidR="00AF4E8B"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tcBorders>
              <w:right w:val="none" w:sz="0" w:space="0" w:color="auto"/>
            </w:tcBorders>
          </w:tcPr>
          <w:p w:rsidR="00AF4E8B" w:rsidRPr="00AA2699" w:rsidRDefault="00AF4E8B" w:rsidP="00FA2C60">
            <w:pPr>
              <w:pStyle w:val="Table2"/>
            </w:pPr>
            <w:r w:rsidRPr="00AA2699">
              <w:t>Food Technology Association of Australia</w:t>
            </w:r>
          </w:p>
        </w:tc>
        <w:tc>
          <w:tcPr>
            <w:tcW w:w="1939" w:type="dxa"/>
            <w:tcBorders>
              <w:left w:val="none" w:sz="0" w:space="0" w:color="auto"/>
              <w:right w:val="none" w:sz="0" w:space="0" w:color="auto"/>
            </w:tcBorders>
          </w:tcPr>
          <w:p w:rsidR="00AF4E8B" w:rsidRPr="00AA2699" w:rsidRDefault="0028659F" w:rsidP="00FA2C60">
            <w:pPr>
              <w:pStyle w:val="Table2"/>
              <w:cnfStyle w:val="000000100000" w:firstRow="0" w:lastRow="0" w:firstColumn="0" w:lastColumn="0" w:oddVBand="0" w:evenVBand="0" w:oddHBand="1" w:evenHBand="0" w:firstRowFirstColumn="0" w:firstRowLastColumn="0" w:lastRowFirstColumn="0" w:lastRowLastColumn="0"/>
              <w:rPr>
                <w:b/>
              </w:rPr>
            </w:pPr>
            <w:r w:rsidRPr="00AA2699">
              <w:t>Yes, does support</w:t>
            </w:r>
          </w:p>
        </w:tc>
        <w:tc>
          <w:tcPr>
            <w:tcW w:w="5103" w:type="dxa"/>
            <w:tcBorders>
              <w:left w:val="none" w:sz="0" w:space="0" w:color="auto"/>
              <w:right w:val="none" w:sz="0" w:space="0" w:color="auto"/>
            </w:tcBorders>
          </w:tcPr>
          <w:p w:rsidR="00AF4E8B" w:rsidRPr="00AA2699" w:rsidRDefault="0028659F" w:rsidP="00FA2C60">
            <w:pPr>
              <w:pStyle w:val="Table2"/>
              <w:cnfStyle w:val="000000100000" w:firstRow="0" w:lastRow="0" w:firstColumn="0" w:lastColumn="0" w:oddVBand="0" w:evenVBand="0" w:oddHBand="1" w:evenHBand="0" w:firstRowFirstColumn="0" w:firstRowLastColumn="0" w:lastRowFirstColumn="0" w:lastRowLastColumn="0"/>
            </w:pPr>
            <w:r w:rsidRPr="00AA2699">
              <w:t>The extension would</w:t>
            </w:r>
            <w:r w:rsidR="00AF4E8B" w:rsidRPr="00AA2699">
              <w:t xml:space="preserve"> provide more time for industry to complete development, if required and to ensure new labels are designed, checked for compliance etc prior to final commitment to print.</w:t>
            </w:r>
          </w:p>
        </w:tc>
        <w:tc>
          <w:tcPr>
            <w:tcW w:w="4852" w:type="dxa"/>
            <w:tcBorders>
              <w:left w:val="none" w:sz="0" w:space="0" w:color="auto"/>
            </w:tcBorders>
          </w:tcPr>
          <w:p w:rsidR="00AF4E8B" w:rsidRPr="00AA2699" w:rsidRDefault="0028659F" w:rsidP="00FA2C60">
            <w:pPr>
              <w:pStyle w:val="Table2"/>
              <w:cnfStyle w:val="000000100000" w:firstRow="0" w:lastRow="0" w:firstColumn="0" w:lastColumn="0" w:oddVBand="0" w:evenVBand="0" w:oddHBand="1" w:evenHBand="0" w:firstRowFirstColumn="0" w:firstRowLastColumn="0" w:lastRowFirstColumn="0" w:lastRowLastColumn="0"/>
            </w:pPr>
            <w:r w:rsidRPr="00AA2699">
              <w:t>Noted</w:t>
            </w:r>
          </w:p>
        </w:tc>
      </w:tr>
      <w:tr w:rsidR="00AF4E8B"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tcBorders>
              <w:right w:val="none" w:sz="0" w:space="0" w:color="auto"/>
            </w:tcBorders>
          </w:tcPr>
          <w:p w:rsidR="00AF4E8B" w:rsidRPr="00AA2699" w:rsidRDefault="00AF4E8B" w:rsidP="00FA2C60">
            <w:pPr>
              <w:pStyle w:val="Table2"/>
            </w:pPr>
            <w:r w:rsidRPr="00AA2699">
              <w:t>Grains &amp; Legumes Nutrition Council</w:t>
            </w:r>
          </w:p>
        </w:tc>
        <w:tc>
          <w:tcPr>
            <w:tcW w:w="1939" w:type="dxa"/>
            <w:tcBorders>
              <w:left w:val="none" w:sz="0" w:space="0" w:color="auto"/>
              <w:right w:val="none" w:sz="0" w:space="0" w:color="auto"/>
            </w:tcBorders>
          </w:tcPr>
          <w:p w:rsidR="00AF4E8B" w:rsidRPr="00AA2699" w:rsidRDefault="0028659F" w:rsidP="00FA2C60">
            <w:pPr>
              <w:pStyle w:val="Table2"/>
              <w:cnfStyle w:val="000000010000" w:firstRow="0" w:lastRow="0" w:firstColumn="0" w:lastColumn="0" w:oddVBand="0" w:evenVBand="0" w:oddHBand="0" w:evenHBand="1" w:firstRowFirstColumn="0" w:firstRowLastColumn="0" w:lastRowFirstColumn="0" w:lastRowLastColumn="0"/>
              <w:rPr>
                <w:b/>
              </w:rPr>
            </w:pPr>
            <w:r w:rsidRPr="00AA2699">
              <w:t>Yes, does support</w:t>
            </w:r>
          </w:p>
        </w:tc>
        <w:tc>
          <w:tcPr>
            <w:tcW w:w="5103" w:type="dxa"/>
            <w:tcBorders>
              <w:left w:val="none" w:sz="0" w:space="0" w:color="auto"/>
              <w:right w:val="none" w:sz="0" w:space="0" w:color="auto"/>
            </w:tcBorders>
          </w:tcPr>
          <w:p w:rsidR="00AF4E8B" w:rsidRPr="00AA2699" w:rsidRDefault="00616EC4" w:rsidP="00FA2C60">
            <w:pPr>
              <w:pStyle w:val="Table2"/>
              <w:cnfStyle w:val="000000010000" w:firstRow="0" w:lastRow="0" w:firstColumn="0" w:lastColumn="0" w:oddVBand="0" w:evenVBand="0" w:oddHBand="0" w:evenHBand="1" w:firstRowFirstColumn="0" w:firstRowLastColumn="0" w:lastRowFirstColumn="0" w:lastRowLastColumn="0"/>
            </w:pPr>
            <w:r>
              <w:t>Many</w:t>
            </w:r>
            <w:r w:rsidR="00AF4E8B" w:rsidRPr="00AA2699">
              <w:t xml:space="preserve"> grain and legume foods with a shelf life of over 12 months require labelling changes well in advance of January 2016 and that product reformulation can take over 12 months. As the decision to retain the levels in as in Standard 1.2.7 was not made until late 2013, a number of grain and legume manufacturers delayed making reformulations or labelling changes. Consequently, food businesses are likely to have stock-in-trade in January 2016 that does not comply with Standard 1.2.7 and that costs incurred by manufacturers to write off packaging may be passed on to consumers.</w:t>
            </w:r>
          </w:p>
        </w:tc>
        <w:tc>
          <w:tcPr>
            <w:tcW w:w="4852" w:type="dxa"/>
            <w:tcBorders>
              <w:left w:val="none" w:sz="0" w:space="0" w:color="auto"/>
            </w:tcBorders>
          </w:tcPr>
          <w:p w:rsidR="00AF4E8B" w:rsidRPr="00AA2699" w:rsidRDefault="00302BDB" w:rsidP="00FA2C60">
            <w:pPr>
              <w:pStyle w:val="Table2"/>
              <w:cnfStyle w:val="000000010000" w:firstRow="0" w:lastRow="0" w:firstColumn="0" w:lastColumn="0" w:oddVBand="0" w:evenVBand="0" w:oddHBand="0" w:evenHBand="1" w:firstRowFirstColumn="0" w:firstRowLastColumn="0" w:lastRowFirstColumn="0" w:lastRowLastColumn="0"/>
            </w:pPr>
            <w:r w:rsidRPr="00AA2699">
              <w:t>Noted</w:t>
            </w:r>
          </w:p>
        </w:tc>
      </w:tr>
      <w:tr w:rsidR="00AF4E8B"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tcBorders>
              <w:right w:val="none" w:sz="0" w:space="0" w:color="auto"/>
            </w:tcBorders>
          </w:tcPr>
          <w:p w:rsidR="00AF4E8B" w:rsidRPr="00AA2699" w:rsidRDefault="000263D8" w:rsidP="00FA2C60">
            <w:pPr>
              <w:pStyle w:val="Table2"/>
            </w:pPr>
            <w:r w:rsidRPr="00AA2699">
              <w:t>Nestl</w:t>
            </w:r>
            <w:r w:rsidR="00BF2A53">
              <w:rPr>
                <w:rFonts w:cs="Arial"/>
              </w:rPr>
              <w:t>é</w:t>
            </w:r>
            <w:r w:rsidRPr="00AA2699">
              <w:t xml:space="preserve"> Australia Ltd, Nestle New Zealand Ltd, Cereal Partners Worldwide</w:t>
            </w:r>
          </w:p>
        </w:tc>
        <w:tc>
          <w:tcPr>
            <w:tcW w:w="1939" w:type="dxa"/>
            <w:tcBorders>
              <w:left w:val="none" w:sz="0" w:space="0" w:color="auto"/>
              <w:bottom w:val="single" w:sz="4" w:space="0" w:color="auto"/>
              <w:right w:val="none" w:sz="0" w:space="0" w:color="auto"/>
            </w:tcBorders>
          </w:tcPr>
          <w:p w:rsidR="00AF4E8B" w:rsidRPr="00AA2699" w:rsidRDefault="009B3782" w:rsidP="00FA2C60">
            <w:pPr>
              <w:pStyle w:val="Table2"/>
              <w:cnfStyle w:val="000000100000" w:firstRow="0" w:lastRow="0" w:firstColumn="0" w:lastColumn="0" w:oddVBand="0" w:evenVBand="0" w:oddHBand="1" w:evenHBand="0" w:firstRowFirstColumn="0" w:firstRowLastColumn="0" w:lastRowFirstColumn="0" w:lastRowLastColumn="0"/>
              <w:rPr>
                <w:b/>
              </w:rPr>
            </w:pPr>
            <w:r w:rsidRPr="00AA2699">
              <w:t>Yes, does support</w:t>
            </w:r>
          </w:p>
        </w:tc>
        <w:tc>
          <w:tcPr>
            <w:tcW w:w="5103" w:type="dxa"/>
            <w:tcBorders>
              <w:left w:val="none" w:sz="0" w:space="0" w:color="auto"/>
              <w:bottom w:val="single" w:sz="4" w:space="0" w:color="auto"/>
              <w:right w:val="none" w:sz="0" w:space="0" w:color="auto"/>
            </w:tcBorders>
          </w:tcPr>
          <w:p w:rsidR="00AF4E8B" w:rsidRPr="00AA2699" w:rsidRDefault="006E0CAB" w:rsidP="00FA2C60">
            <w:pPr>
              <w:pStyle w:val="Table2"/>
              <w:cnfStyle w:val="000000100000" w:firstRow="0" w:lastRow="0" w:firstColumn="0" w:lastColumn="0" w:oddVBand="0" w:evenVBand="0" w:oddHBand="1" w:evenHBand="0" w:firstRowFirstColumn="0" w:firstRowLastColumn="0" w:lastRowFirstColumn="0" w:lastRowLastColumn="0"/>
            </w:pPr>
            <w:r w:rsidRPr="00AA2699">
              <w:t>Ex</w:t>
            </w:r>
            <w:r w:rsidR="00A52DB0" w:rsidRPr="00AA2699">
              <w:t>tension of the transition period will</w:t>
            </w:r>
            <w:r w:rsidR="00AF4E8B" w:rsidRPr="00AA2699">
              <w:t xml:space="preserve"> reduce costs on business associated with packaging write off. The FSANZ review in 2013 effectively cut out 12 months of transition time which could have been spent making labelling and reformulation changes for those businesses that elected to put such work on hold while in a state of uncertainty.</w:t>
            </w:r>
          </w:p>
        </w:tc>
        <w:tc>
          <w:tcPr>
            <w:tcW w:w="4852" w:type="dxa"/>
            <w:tcBorders>
              <w:left w:val="none" w:sz="0" w:space="0" w:color="auto"/>
            </w:tcBorders>
          </w:tcPr>
          <w:p w:rsidR="00AF4E8B" w:rsidRPr="00AA2699" w:rsidRDefault="00302BDB" w:rsidP="00FA2C60">
            <w:pPr>
              <w:pStyle w:val="Table2"/>
              <w:cnfStyle w:val="000000100000" w:firstRow="0" w:lastRow="0" w:firstColumn="0" w:lastColumn="0" w:oddVBand="0" w:evenVBand="0" w:oddHBand="1" w:evenHBand="0" w:firstRowFirstColumn="0" w:firstRowLastColumn="0" w:lastRowFirstColumn="0" w:lastRowLastColumn="0"/>
            </w:pPr>
            <w:r w:rsidRPr="00AA2699">
              <w:t>Noted</w:t>
            </w:r>
          </w:p>
        </w:tc>
      </w:tr>
      <w:tr w:rsidR="00AA2699"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val="restart"/>
            <w:tcBorders>
              <w:right w:val="single" w:sz="4" w:space="0" w:color="auto"/>
            </w:tcBorders>
          </w:tcPr>
          <w:p w:rsidR="00AA2699" w:rsidRPr="00AA2699" w:rsidRDefault="00AA2699" w:rsidP="00FA2C60">
            <w:pPr>
              <w:pStyle w:val="Table2"/>
            </w:pPr>
            <w:r w:rsidRPr="00AA2699">
              <w:lastRenderedPageBreak/>
              <w:t>New Zealand Food and Grocery Council</w:t>
            </w:r>
          </w:p>
        </w:tc>
        <w:tc>
          <w:tcPr>
            <w:tcW w:w="1939" w:type="dxa"/>
            <w:vMerge w:val="restart"/>
            <w:tcBorders>
              <w:left w:val="single" w:sz="4" w:space="0" w:color="auto"/>
              <w:righ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Yes, does support</w:t>
            </w:r>
          </w:p>
        </w:tc>
        <w:tc>
          <w:tcPr>
            <w:tcW w:w="5103" w:type="dxa"/>
            <w:tcBorders>
              <w:left w:val="single" w:sz="4" w:space="0" w:color="auto"/>
              <w:righ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Understand that some businesses may have begun the transition process to meet the qualifying criteria. However, the changes involve in some instances, formulation changes and this takes time. Whether formulations change or not, labels must change on products currently carrying claims that do the meet the qualifying criteria. Formulation and/or label changes may well be coordinated with changes to accommodate the Health Star Rating System,</w:t>
            </w:r>
          </w:p>
        </w:tc>
        <w:tc>
          <w:tcPr>
            <w:tcW w:w="4852" w:type="dxa"/>
            <w:tcBorders>
              <w:left w:val="single" w:sz="4" w:space="0" w:color="auto"/>
            </w:tcBorders>
          </w:tcPr>
          <w:p w:rsidR="00AA2699" w:rsidRPr="00AA2699" w:rsidRDefault="00AA2699" w:rsidP="00FA2C60">
            <w:pPr>
              <w:pStyle w:val="Table2"/>
              <w:cnfStyle w:val="000000010000" w:firstRow="0" w:lastRow="0" w:firstColumn="0" w:lastColumn="0" w:oddVBand="0" w:evenVBand="0" w:oddHBand="0" w:evenHBand="1" w:firstRowFirstColumn="0" w:firstRowLastColumn="0" w:lastRowFirstColumn="0" w:lastRowLastColumn="0"/>
            </w:pPr>
            <w:r w:rsidRPr="00AA2699">
              <w:t>Noted</w:t>
            </w:r>
          </w:p>
        </w:tc>
      </w:tr>
      <w:tr w:rsidR="00AA2699"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AA2699" w:rsidRPr="00AA2699" w:rsidRDefault="00AA2699" w:rsidP="00FA2C60">
            <w:pPr>
              <w:pStyle w:val="Table2"/>
              <w:rPr>
                <w:rFonts w:cs="Arial"/>
                <w:b w:val="0"/>
                <w:szCs w:val="18"/>
              </w:rPr>
            </w:pPr>
          </w:p>
        </w:tc>
        <w:tc>
          <w:tcPr>
            <w:tcW w:w="1939" w:type="dxa"/>
            <w:vMerge/>
            <w:tcBorders>
              <w:left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p>
        </w:tc>
        <w:tc>
          <w:tcPr>
            <w:tcW w:w="5103" w:type="dxa"/>
            <w:tcBorders>
              <w:left w:val="single" w:sz="4" w:space="0" w:color="auto"/>
              <w:righ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With just over 12 months of the transition period left, businesses that awaited the outcome of the FSANZ review in 2013 before undertaking a review of formulations or labels are now disadvantaged compared with other businesses making changes. An extension of the transition period to January 2017 will assist businesses to meet the requirements of Standard 1.2.7 with least cost.</w:t>
            </w:r>
          </w:p>
        </w:tc>
        <w:tc>
          <w:tcPr>
            <w:tcW w:w="4852" w:type="dxa"/>
            <w:tcBorders>
              <w:left w:val="single" w:sz="4" w:space="0" w:color="auto"/>
            </w:tcBorders>
          </w:tcPr>
          <w:p w:rsidR="00AA2699" w:rsidRPr="00AA2699" w:rsidRDefault="00AA2699"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Noted</w:t>
            </w:r>
          </w:p>
        </w:tc>
      </w:tr>
      <w:tr w:rsidR="0080629E"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val="restart"/>
            <w:tcBorders>
              <w:right w:val="single" w:sz="4" w:space="0" w:color="auto"/>
            </w:tcBorders>
          </w:tcPr>
          <w:p w:rsidR="0080629E" w:rsidRPr="00B1367A" w:rsidRDefault="0080629E" w:rsidP="00FA2C60">
            <w:pPr>
              <w:pStyle w:val="Table2"/>
              <w:rPr>
                <w:rFonts w:cs="Arial"/>
                <w:szCs w:val="18"/>
              </w:rPr>
            </w:pPr>
            <w:r w:rsidRPr="00B1367A">
              <w:rPr>
                <w:rFonts w:cs="Arial"/>
                <w:szCs w:val="18"/>
              </w:rPr>
              <w:t>NZ Ministry for Primary Industries</w:t>
            </w:r>
          </w:p>
        </w:tc>
        <w:tc>
          <w:tcPr>
            <w:tcW w:w="1939" w:type="dxa"/>
            <w:vMerge w:val="restart"/>
            <w:tcBorders>
              <w:left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No, does not support</w:t>
            </w:r>
          </w:p>
        </w:tc>
        <w:tc>
          <w:tcPr>
            <w:tcW w:w="5103" w:type="dxa"/>
            <w:tcBorders>
              <w:left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 xml:space="preserve">Two years from December 2013 is adequate to allow for stock-in-trade. Some companies have implemented changes during the first two years of transition period. </w:t>
            </w:r>
          </w:p>
        </w:tc>
        <w:tc>
          <w:tcPr>
            <w:tcW w:w="4852" w:type="dxa"/>
            <w:tcBorders>
              <w:left w:val="single" w:sz="4" w:space="0" w:color="auto"/>
            </w:tcBorders>
          </w:tcPr>
          <w:p w:rsidR="0080629E" w:rsidRPr="00AA2699" w:rsidRDefault="00DA3484"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Submitters claim that three years is required in order to minimise costs of compliance. </w:t>
            </w:r>
          </w:p>
        </w:tc>
      </w:tr>
      <w:tr w:rsidR="0080629E"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80629E" w:rsidRPr="00AA2699" w:rsidRDefault="0080629E" w:rsidP="00FA2C60">
            <w:pPr>
              <w:pStyle w:val="Table2"/>
              <w:rPr>
                <w:rFonts w:cs="Arial"/>
                <w:b w:val="0"/>
                <w:szCs w:val="18"/>
              </w:rPr>
            </w:pPr>
          </w:p>
        </w:tc>
        <w:tc>
          <w:tcPr>
            <w:tcW w:w="1939" w:type="dxa"/>
            <w:vMerge/>
            <w:tcBorders>
              <w:left w:val="single" w:sz="4" w:space="0" w:color="auto"/>
              <w:right w:val="single" w:sz="4" w:space="0" w:color="auto"/>
            </w:tcBorders>
          </w:tcPr>
          <w:p w:rsidR="0080629E" w:rsidRPr="00AA2699" w:rsidRDefault="0080629E"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p>
        </w:tc>
        <w:tc>
          <w:tcPr>
            <w:tcW w:w="5103" w:type="dxa"/>
            <w:tcBorders>
              <w:left w:val="single" w:sz="4" w:space="0" w:color="auto"/>
              <w:right w:val="single" w:sz="4" w:space="0" w:color="auto"/>
            </w:tcBorders>
          </w:tcPr>
          <w:p w:rsidR="0080629E" w:rsidRPr="00AA2699" w:rsidRDefault="0080629E"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Many products carrying nutrition content claims about dietary fibre also carry other claims, some of which will need to be altered in order to comply with Standard 1.2.7 by January 2016. Changes to dietary fibre claims could therefore be combined with other changes.</w:t>
            </w:r>
          </w:p>
        </w:tc>
        <w:tc>
          <w:tcPr>
            <w:tcW w:w="4852" w:type="dxa"/>
            <w:tcBorders>
              <w:left w:val="single" w:sz="4" w:space="0" w:color="auto"/>
            </w:tcBorders>
          </w:tcPr>
          <w:p w:rsidR="0080629E" w:rsidRPr="00AA2699" w:rsidRDefault="0080629E"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Noted – one submitter indicated that labelling changes for nutrition content claims about dietary fibre may be combined with other label changes in the next 12 months, while another submitter indicated this is not possible.</w:t>
            </w:r>
          </w:p>
        </w:tc>
      </w:tr>
      <w:tr w:rsidR="0080629E"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80629E" w:rsidRPr="00AA2699" w:rsidRDefault="0080629E" w:rsidP="00FA2C60">
            <w:pPr>
              <w:pStyle w:val="Table2"/>
              <w:rPr>
                <w:rFonts w:cs="Arial"/>
                <w:b w:val="0"/>
                <w:szCs w:val="18"/>
              </w:rPr>
            </w:pPr>
          </w:p>
        </w:tc>
        <w:tc>
          <w:tcPr>
            <w:tcW w:w="1939" w:type="dxa"/>
            <w:vMerge/>
            <w:tcBorders>
              <w:left w:val="single" w:sz="4" w:space="0" w:color="auto"/>
              <w:bottom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p>
        </w:tc>
        <w:tc>
          <w:tcPr>
            <w:tcW w:w="5103" w:type="dxa"/>
            <w:tcBorders>
              <w:left w:val="single" w:sz="4" w:space="0" w:color="auto"/>
              <w:bottom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 xml:space="preserve">More straightforward if all nutrition, health and related claims have the same date of </w:t>
            </w:r>
            <w:r w:rsidR="00E30908">
              <w:rPr>
                <w:rFonts w:cs="Arial"/>
                <w:szCs w:val="18"/>
              </w:rPr>
              <w:t>application</w:t>
            </w:r>
            <w:r w:rsidR="00E30908" w:rsidRPr="00AA2699">
              <w:rPr>
                <w:rFonts w:cs="Arial"/>
                <w:szCs w:val="18"/>
              </w:rPr>
              <w:t xml:space="preserve"> </w:t>
            </w:r>
            <w:r w:rsidRPr="00AA2699">
              <w:rPr>
                <w:rFonts w:cs="Arial"/>
                <w:szCs w:val="18"/>
              </w:rPr>
              <w:t>in order to align with implementation and enforcement plans.</w:t>
            </w:r>
          </w:p>
        </w:tc>
        <w:tc>
          <w:tcPr>
            <w:tcW w:w="4852" w:type="dxa"/>
            <w:tcBorders>
              <w:lef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Noted</w:t>
            </w:r>
          </w:p>
        </w:tc>
      </w:tr>
      <w:tr w:rsidR="0080629E"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tcBorders>
              <w:right w:val="single" w:sz="4" w:space="0" w:color="auto"/>
            </w:tcBorders>
          </w:tcPr>
          <w:p w:rsidR="00AF4E8B" w:rsidRPr="00B1367A" w:rsidRDefault="00AF4E8B" w:rsidP="00FA2C60">
            <w:pPr>
              <w:pStyle w:val="Table2"/>
              <w:rPr>
                <w:rFonts w:cs="Arial"/>
                <w:szCs w:val="18"/>
              </w:rPr>
            </w:pPr>
            <w:r w:rsidRPr="00B1367A">
              <w:rPr>
                <w:rFonts w:cs="Arial"/>
                <w:szCs w:val="18"/>
              </w:rPr>
              <w:t>Simplot</w:t>
            </w:r>
            <w:r w:rsidR="007F6E0E" w:rsidRPr="00B1367A">
              <w:rPr>
                <w:rFonts w:cs="Arial"/>
                <w:szCs w:val="18"/>
              </w:rPr>
              <w:t xml:space="preserve"> Australia</w:t>
            </w:r>
          </w:p>
        </w:tc>
        <w:tc>
          <w:tcPr>
            <w:tcW w:w="1939" w:type="dxa"/>
            <w:tcBorders>
              <w:left w:val="single" w:sz="4" w:space="0" w:color="auto"/>
              <w:bottom w:val="single" w:sz="4" w:space="0" w:color="auto"/>
              <w:right w:val="single" w:sz="4" w:space="0" w:color="auto"/>
            </w:tcBorders>
          </w:tcPr>
          <w:p w:rsidR="00AF4E8B" w:rsidRPr="00AA2699" w:rsidRDefault="009B3782"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 xml:space="preserve">Yes, does support </w:t>
            </w:r>
          </w:p>
        </w:tc>
        <w:tc>
          <w:tcPr>
            <w:tcW w:w="5103" w:type="dxa"/>
            <w:tcBorders>
              <w:left w:val="single" w:sz="4" w:space="0" w:color="auto"/>
              <w:bottom w:val="single" w:sz="4" w:space="0" w:color="auto"/>
              <w:right w:val="single" w:sz="4" w:space="0" w:color="auto"/>
            </w:tcBorders>
          </w:tcPr>
          <w:p w:rsidR="00AF4E8B" w:rsidRPr="00AA2699" w:rsidRDefault="00AF4E8B"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 xml:space="preserve">There is likely to be stock-in-trade in January 2016 that does not comply with Standard 1.2.7. If the </w:t>
            </w:r>
            <w:r w:rsidR="00E30908">
              <w:rPr>
                <w:rFonts w:cs="Arial"/>
                <w:szCs w:val="18"/>
              </w:rPr>
              <w:t>application</w:t>
            </w:r>
            <w:r w:rsidR="00E30908" w:rsidRPr="00AA2699">
              <w:rPr>
                <w:rFonts w:cs="Arial"/>
                <w:szCs w:val="18"/>
              </w:rPr>
              <w:t xml:space="preserve"> </w:t>
            </w:r>
            <w:r w:rsidRPr="00AA2699">
              <w:rPr>
                <w:rFonts w:cs="Arial"/>
                <w:szCs w:val="18"/>
              </w:rPr>
              <w:t>date is not extended to January 2017, costs will be incurred to withdraw stock and write off this stock as well as any packaging that has been printed.</w:t>
            </w:r>
          </w:p>
        </w:tc>
        <w:tc>
          <w:tcPr>
            <w:tcW w:w="4852" w:type="dxa"/>
            <w:tcBorders>
              <w:left w:val="single" w:sz="4" w:space="0" w:color="auto"/>
            </w:tcBorders>
          </w:tcPr>
          <w:p w:rsidR="00AF4E8B" w:rsidRPr="00AA2699" w:rsidRDefault="002B38CC" w:rsidP="00FA2C6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AA2699">
              <w:rPr>
                <w:rFonts w:cs="Arial"/>
                <w:szCs w:val="18"/>
              </w:rPr>
              <w:t>Noted</w:t>
            </w:r>
          </w:p>
        </w:tc>
      </w:tr>
      <w:tr w:rsidR="0080629E" w:rsidTr="00FA2C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val="restart"/>
            <w:tcBorders>
              <w:right w:val="single" w:sz="4" w:space="0" w:color="auto"/>
            </w:tcBorders>
          </w:tcPr>
          <w:p w:rsidR="0080629E" w:rsidRPr="00B1367A" w:rsidRDefault="0080629E" w:rsidP="00FA2C60">
            <w:pPr>
              <w:pStyle w:val="Table2"/>
              <w:keepNext/>
              <w:rPr>
                <w:rFonts w:cs="Arial"/>
                <w:szCs w:val="18"/>
              </w:rPr>
            </w:pPr>
            <w:r w:rsidRPr="00B1367A">
              <w:rPr>
                <w:rFonts w:cs="Arial"/>
                <w:szCs w:val="18"/>
              </w:rPr>
              <w:lastRenderedPageBreak/>
              <w:t>Victorian Departments of Environment and Primary Industries and Health</w:t>
            </w:r>
          </w:p>
        </w:tc>
        <w:tc>
          <w:tcPr>
            <w:tcW w:w="1939" w:type="dxa"/>
            <w:vMerge w:val="restart"/>
            <w:tcBorders>
              <w:left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Yes, does support</w:t>
            </w:r>
          </w:p>
        </w:tc>
        <w:tc>
          <w:tcPr>
            <w:tcW w:w="5103" w:type="dxa"/>
            <w:tcBorders>
              <w:left w:val="single" w:sz="4" w:space="0" w:color="auto"/>
              <w:righ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 xml:space="preserve">Extension of transition period will reduce costs to industry. </w:t>
            </w:r>
          </w:p>
        </w:tc>
        <w:tc>
          <w:tcPr>
            <w:tcW w:w="4852" w:type="dxa"/>
            <w:tcBorders>
              <w:left w:val="single" w:sz="4" w:space="0" w:color="auto"/>
            </w:tcBorders>
          </w:tcPr>
          <w:p w:rsidR="0080629E" w:rsidRPr="00AA2699" w:rsidRDefault="0080629E" w:rsidP="00FA2C60">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sidRPr="00AA2699">
              <w:rPr>
                <w:rFonts w:cs="Arial"/>
                <w:szCs w:val="18"/>
              </w:rPr>
              <w:t>Noted</w:t>
            </w:r>
          </w:p>
        </w:tc>
      </w:tr>
      <w:tr w:rsidR="0080629E" w:rsidTr="00FA2C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2" w:type="dxa"/>
            <w:vMerge/>
            <w:tcBorders>
              <w:right w:val="single" w:sz="4" w:space="0" w:color="auto"/>
            </w:tcBorders>
          </w:tcPr>
          <w:p w:rsidR="0080629E" w:rsidRPr="00AA2699" w:rsidRDefault="0080629E" w:rsidP="00401DBD">
            <w:pPr>
              <w:rPr>
                <w:rFonts w:cs="Arial"/>
                <w:b w:val="0"/>
                <w:sz w:val="18"/>
                <w:szCs w:val="18"/>
              </w:rPr>
            </w:pPr>
          </w:p>
        </w:tc>
        <w:tc>
          <w:tcPr>
            <w:tcW w:w="1939" w:type="dxa"/>
            <w:vMerge/>
            <w:tcBorders>
              <w:left w:val="single" w:sz="4" w:space="0" w:color="auto"/>
              <w:right w:val="single" w:sz="4" w:space="0" w:color="auto"/>
            </w:tcBorders>
          </w:tcPr>
          <w:p w:rsidR="0080629E" w:rsidRPr="00AA2699" w:rsidRDefault="0080629E" w:rsidP="00401DB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5103" w:type="dxa"/>
            <w:tcBorders>
              <w:left w:val="single" w:sz="4" w:space="0" w:color="auto"/>
              <w:right w:val="single" w:sz="4" w:space="0" w:color="auto"/>
            </w:tcBorders>
          </w:tcPr>
          <w:p w:rsidR="0080629E" w:rsidRPr="00AA2699" w:rsidRDefault="0080629E" w:rsidP="00FA2C60">
            <w:pPr>
              <w:pStyle w:val="Table2"/>
              <w:cnfStyle w:val="000000100000" w:firstRow="0" w:lastRow="0" w:firstColumn="0" w:lastColumn="0" w:oddVBand="0" w:evenVBand="0" w:oddHBand="1" w:evenHBand="0" w:firstRowFirstColumn="0" w:firstRowLastColumn="0" w:lastRowFirstColumn="0" w:lastRowLastColumn="0"/>
            </w:pPr>
            <w:r w:rsidRPr="00AA2699">
              <w:t>Suggests FSANZ does further work to modernise nutrient definitions in the Code, taking into account the latest science and international regulations. An updated definition of fibre could provide consumers with appropriate information about the fibre content through nutrient content claims being made only when it is reasonable to do so.</w:t>
            </w:r>
          </w:p>
        </w:tc>
        <w:tc>
          <w:tcPr>
            <w:tcW w:w="4852" w:type="dxa"/>
            <w:tcBorders>
              <w:left w:val="single" w:sz="4" w:space="0" w:color="auto"/>
            </w:tcBorders>
          </w:tcPr>
          <w:p w:rsidR="0080629E" w:rsidRPr="00AA2699" w:rsidRDefault="0080629E" w:rsidP="00FA2C60">
            <w:pPr>
              <w:pStyle w:val="Table2"/>
              <w:cnfStyle w:val="000000100000" w:firstRow="0" w:lastRow="0" w:firstColumn="0" w:lastColumn="0" w:oddVBand="0" w:evenVBand="0" w:oddHBand="1" w:evenHBand="0" w:firstRowFirstColumn="0" w:firstRowLastColumn="0" w:lastRowFirstColumn="0" w:lastRowLastColumn="0"/>
            </w:pPr>
            <w:r w:rsidRPr="00AA2699">
              <w:t>Noted</w:t>
            </w:r>
            <w:r w:rsidR="007B2DF0">
              <w:t>, however</w:t>
            </w:r>
            <w:r w:rsidR="00B81481">
              <w:t xml:space="preserve"> </w:t>
            </w:r>
            <w:r w:rsidR="007B2DF0">
              <w:t>a</w:t>
            </w:r>
            <w:r w:rsidRPr="00AA2699">
              <w:t xml:space="preserve"> review of nutrient definitions </w:t>
            </w:r>
            <w:r w:rsidR="001F2785">
              <w:t xml:space="preserve">is </w:t>
            </w:r>
            <w:r w:rsidRPr="00AA2699">
              <w:t>out of scope of the Application.</w:t>
            </w:r>
          </w:p>
        </w:tc>
      </w:tr>
    </w:tbl>
    <w:p w:rsidR="003D43F8" w:rsidRDefault="003D43F8" w:rsidP="003D43F8">
      <w:pPr>
        <w:rPr>
          <w:rFonts w:cs="Arial"/>
          <w:b/>
        </w:rPr>
        <w:sectPr w:rsidR="003D43F8" w:rsidSect="00401DBD">
          <w:pgSz w:w="16838" w:h="11906" w:orient="landscape"/>
          <w:pgMar w:top="1440" w:right="1440" w:bottom="1440" w:left="1440" w:header="708" w:footer="708" w:gutter="0"/>
          <w:cols w:space="708"/>
          <w:docGrid w:linePitch="360"/>
        </w:sectPr>
      </w:pPr>
    </w:p>
    <w:p w:rsidR="004F69F6" w:rsidRDefault="00D3171B" w:rsidP="004646F8">
      <w:pPr>
        <w:pStyle w:val="Heading2"/>
      </w:pPr>
      <w:bookmarkStart w:id="42" w:name="_Toc414615576"/>
      <w:r>
        <w:lastRenderedPageBreak/>
        <w:t>2</w:t>
      </w:r>
      <w:r w:rsidR="00271F00">
        <w:t>.</w:t>
      </w:r>
      <w:r>
        <w:t>2</w:t>
      </w:r>
      <w:r w:rsidR="00271F00">
        <w:tab/>
      </w:r>
      <w:r w:rsidR="004F69F6" w:rsidRPr="00932F14">
        <w:t xml:space="preserve">Risk </w:t>
      </w:r>
      <w:r w:rsidR="00741EFE">
        <w:t>a</w:t>
      </w:r>
      <w:r w:rsidR="004F69F6" w:rsidRPr="00932F14">
        <w:t>ssessment</w:t>
      </w:r>
      <w:bookmarkEnd w:id="38"/>
      <w:bookmarkEnd w:id="39"/>
      <w:bookmarkEnd w:id="40"/>
      <w:bookmarkEnd w:id="41"/>
      <w:bookmarkEnd w:id="42"/>
    </w:p>
    <w:p w:rsidR="008A4CEE" w:rsidRPr="008A4CEE" w:rsidRDefault="008A4CEE" w:rsidP="00FA2C60">
      <w:pPr>
        <w:ind w:right="-286"/>
        <w:rPr>
          <w:lang w:bidi="ar-SA"/>
        </w:rPr>
      </w:pPr>
      <w:r w:rsidRPr="00D7795B">
        <w:rPr>
          <w:lang w:bidi="ar-SA"/>
        </w:rPr>
        <w:t>Standard 1.2.7 was gazetted in January 2013 with a three-year transition period</w:t>
      </w:r>
      <w:r>
        <w:rPr>
          <w:lang w:bidi="ar-SA"/>
        </w:rPr>
        <w:t>, which ends on</w:t>
      </w:r>
      <w:r w:rsidRPr="00D7795B">
        <w:rPr>
          <w:lang w:bidi="ar-SA"/>
        </w:rPr>
        <w:t xml:space="preserve"> 18 January 2016</w:t>
      </w:r>
      <w:r>
        <w:t>. Application</w:t>
      </w:r>
      <w:r w:rsidRPr="000D51B2">
        <w:rPr>
          <w:rFonts w:cs="Arial"/>
        </w:rPr>
        <w:t xml:space="preserve"> </w:t>
      </w:r>
      <w:r w:rsidR="00DB57FA">
        <w:rPr>
          <w:rFonts w:cs="Arial"/>
        </w:rPr>
        <w:t>A1101 seeks a 12-</w:t>
      </w:r>
      <w:r>
        <w:rPr>
          <w:rFonts w:cs="Arial"/>
        </w:rPr>
        <w:t xml:space="preserve">month </w:t>
      </w:r>
      <w:r w:rsidR="00D22328">
        <w:rPr>
          <w:rFonts w:cs="Arial"/>
        </w:rPr>
        <w:t xml:space="preserve">delay in the requirement for industry </w:t>
      </w:r>
      <w:r w:rsidR="004A7057">
        <w:rPr>
          <w:rFonts w:cs="Arial"/>
        </w:rPr>
        <w:t>to comply</w:t>
      </w:r>
      <w:r w:rsidR="00D22328">
        <w:rPr>
          <w:rFonts w:cs="Arial"/>
        </w:rPr>
        <w:t xml:space="preserve"> with</w:t>
      </w:r>
      <w:r>
        <w:rPr>
          <w:rFonts w:cs="Arial"/>
        </w:rPr>
        <w:t xml:space="preserve"> </w:t>
      </w:r>
      <w:r w:rsidR="00D22328">
        <w:rPr>
          <w:rFonts w:cs="Arial"/>
        </w:rPr>
        <w:t xml:space="preserve">the qualifying criteria for </w:t>
      </w:r>
      <w:r>
        <w:rPr>
          <w:rFonts w:cs="Arial"/>
        </w:rPr>
        <w:t>nutrition content claims about dietary fibre</w:t>
      </w:r>
      <w:r w:rsidR="00B12982">
        <w:rPr>
          <w:rFonts w:cs="Arial"/>
        </w:rPr>
        <w:t xml:space="preserve"> in Standard 1.2.7</w:t>
      </w:r>
      <w:r>
        <w:rPr>
          <w:rFonts w:cs="Arial"/>
        </w:rPr>
        <w:t xml:space="preserve">. The rationale is to reduce the cost of compliance for industry. </w:t>
      </w:r>
      <w:r w:rsidR="004A7057">
        <w:rPr>
          <w:rFonts w:cs="Arial"/>
        </w:rPr>
        <w:t xml:space="preserve">FSANZ considered the qualifying criteria during the assessment of </w:t>
      </w:r>
      <w:r w:rsidR="004A7057" w:rsidRPr="00D7795B">
        <w:rPr>
          <w:lang w:bidi="ar-SA"/>
        </w:rPr>
        <w:t>Propo</w:t>
      </w:r>
      <w:r w:rsidR="004A7057">
        <w:rPr>
          <w:lang w:bidi="ar-SA"/>
        </w:rPr>
        <w:t>sal P293 – Nutrition, Health &amp;</w:t>
      </w:r>
      <w:r w:rsidR="004A7057" w:rsidRPr="00D7795B">
        <w:rPr>
          <w:lang w:bidi="ar-SA"/>
        </w:rPr>
        <w:t xml:space="preserve"> Related Claims</w:t>
      </w:r>
      <w:r w:rsidR="00B12982">
        <w:rPr>
          <w:rFonts w:cs="Arial"/>
        </w:rPr>
        <w:t xml:space="preserve"> and </w:t>
      </w:r>
      <w:r w:rsidR="0033007C">
        <w:rPr>
          <w:rFonts w:cs="Arial"/>
        </w:rPr>
        <w:t xml:space="preserve">subsequently considered them </w:t>
      </w:r>
      <w:r w:rsidR="00167748">
        <w:rPr>
          <w:rFonts w:cs="Arial"/>
        </w:rPr>
        <w:t xml:space="preserve">again </w:t>
      </w:r>
      <w:r w:rsidR="0033007C">
        <w:rPr>
          <w:rFonts w:cs="Arial"/>
        </w:rPr>
        <w:t xml:space="preserve">in 2013. Therefore the focus of </w:t>
      </w:r>
      <w:r w:rsidR="001943FB">
        <w:rPr>
          <w:rFonts w:cs="Arial"/>
        </w:rPr>
        <w:t xml:space="preserve">Application </w:t>
      </w:r>
      <w:r w:rsidR="0033007C">
        <w:rPr>
          <w:rFonts w:cs="Arial"/>
        </w:rPr>
        <w:t>A1101 is on the costs and benefits of delay</w:t>
      </w:r>
      <w:r w:rsidR="00167748">
        <w:rPr>
          <w:rFonts w:cs="Arial"/>
        </w:rPr>
        <w:t>ing</w:t>
      </w:r>
      <w:r w:rsidR="0033007C">
        <w:rPr>
          <w:rFonts w:cs="Arial"/>
        </w:rPr>
        <w:t xml:space="preserve"> the requirement for industry to comply with the qualifying criteria for nutrition content claims</w:t>
      </w:r>
      <w:r w:rsidR="00AC63B7">
        <w:rPr>
          <w:rFonts w:cs="Arial"/>
        </w:rPr>
        <w:t xml:space="preserve"> for</w:t>
      </w:r>
      <w:r w:rsidR="00167748">
        <w:rPr>
          <w:rFonts w:cs="Arial"/>
        </w:rPr>
        <w:t xml:space="preserve"> 12 months.</w:t>
      </w:r>
      <w:r w:rsidR="0033007C">
        <w:rPr>
          <w:rFonts w:cs="Arial"/>
        </w:rPr>
        <w:t xml:space="preserve"> </w:t>
      </w:r>
      <w:r w:rsidR="0050072E">
        <w:t xml:space="preserve">We have undertaken an impact analysis based on the cost and other information provided by the Applicant and submitters and are satisfied that it is appropriate to proceed with the proposed regulatory measures. </w:t>
      </w:r>
    </w:p>
    <w:p w:rsidR="00E76B97" w:rsidRDefault="00362718" w:rsidP="00362718">
      <w:pPr>
        <w:pStyle w:val="Heading2"/>
      </w:pPr>
      <w:bookmarkStart w:id="43" w:name="_Toc414615577"/>
      <w:r>
        <w:t>2.3</w:t>
      </w:r>
      <w:r>
        <w:tab/>
        <w:t>Impact analysis</w:t>
      </w:r>
      <w:bookmarkEnd w:id="43"/>
    </w:p>
    <w:p w:rsidR="003D43F8" w:rsidRPr="006F4DE9" w:rsidRDefault="005401C8" w:rsidP="001349CA">
      <w:pPr>
        <w:rPr>
          <w:rFonts w:cs="Arial"/>
          <w:lang w:bidi="ar-SA"/>
        </w:rPr>
      </w:pPr>
      <w:r>
        <w:rPr>
          <w:rFonts w:cs="Arial"/>
        </w:rPr>
        <w:t xml:space="preserve">The Applicant </w:t>
      </w:r>
      <w:r w:rsidR="003D43F8" w:rsidRPr="006F4DE9">
        <w:rPr>
          <w:rFonts w:cs="Arial"/>
        </w:rPr>
        <w:t xml:space="preserve">provided information and data to support the proposed </w:t>
      </w:r>
      <w:r w:rsidR="003A143C">
        <w:rPr>
          <w:rFonts w:cs="Arial"/>
        </w:rPr>
        <w:t>12</w:t>
      </w:r>
      <w:r w:rsidR="0008451B">
        <w:rPr>
          <w:rFonts w:cs="Arial"/>
        </w:rPr>
        <w:t>-</w:t>
      </w:r>
      <w:r w:rsidR="003A143C">
        <w:rPr>
          <w:rFonts w:cs="Arial"/>
        </w:rPr>
        <w:t xml:space="preserve">month </w:t>
      </w:r>
      <w:r w:rsidR="003D43F8" w:rsidRPr="006F4DE9">
        <w:rPr>
          <w:rFonts w:cs="Arial"/>
        </w:rPr>
        <w:t xml:space="preserve">delay in the </w:t>
      </w:r>
      <w:r w:rsidR="00E30908">
        <w:rPr>
          <w:rFonts w:cs="Arial"/>
        </w:rPr>
        <w:t xml:space="preserve">requirement to comply with </w:t>
      </w:r>
      <w:r w:rsidR="00D22328">
        <w:rPr>
          <w:rFonts w:cs="Arial"/>
        </w:rPr>
        <w:t>the qualifying criteria for</w:t>
      </w:r>
      <w:r w:rsidR="00C2040D">
        <w:rPr>
          <w:rFonts w:cs="Arial"/>
        </w:rPr>
        <w:t xml:space="preserve"> </w:t>
      </w:r>
      <w:r w:rsidR="003D43F8" w:rsidRPr="006F4DE9">
        <w:rPr>
          <w:rFonts w:cs="Arial"/>
        </w:rPr>
        <w:t>nutrition cont</w:t>
      </w:r>
      <w:r w:rsidR="003A143C">
        <w:rPr>
          <w:rFonts w:cs="Arial"/>
        </w:rPr>
        <w:t xml:space="preserve">ent claims about dietary fibre. </w:t>
      </w:r>
      <w:r w:rsidR="003D43F8" w:rsidRPr="006F4DE9">
        <w:rPr>
          <w:rFonts w:cs="Arial"/>
        </w:rPr>
        <w:t xml:space="preserve">The Applicant claims that the additional 12 months will </w:t>
      </w:r>
      <w:r w:rsidR="003D43F8" w:rsidRPr="006F4DE9">
        <w:rPr>
          <w:rFonts w:cs="Arial"/>
          <w:i/>
        </w:rPr>
        <w:t xml:space="preserve">provide industry with an adequate period of time in which to address the challenges and financial impacts resulting from the increased levels of dietary fibre required. </w:t>
      </w:r>
    </w:p>
    <w:p w:rsidR="003D43F8" w:rsidRPr="006F4DE9" w:rsidRDefault="003D43F8" w:rsidP="003D43F8">
      <w:pPr>
        <w:pStyle w:val="FSBullet1"/>
        <w:numPr>
          <w:ilvl w:val="0"/>
          <w:numId w:val="0"/>
        </w:numPr>
        <w:ind w:left="567" w:hanging="567"/>
      </w:pPr>
    </w:p>
    <w:p w:rsidR="003D43F8" w:rsidRDefault="005401C8" w:rsidP="003D43F8">
      <w:pPr>
        <w:rPr>
          <w:rFonts w:cs="Arial"/>
        </w:rPr>
      </w:pPr>
      <w:r>
        <w:rPr>
          <w:rFonts w:cs="Arial"/>
        </w:rPr>
        <w:t>The Applicant refer</w:t>
      </w:r>
      <w:r w:rsidR="00302BDB">
        <w:rPr>
          <w:rFonts w:cs="Arial"/>
        </w:rPr>
        <w:t>r</w:t>
      </w:r>
      <w:r>
        <w:rPr>
          <w:rFonts w:cs="Arial"/>
        </w:rPr>
        <w:t>ed</w:t>
      </w:r>
      <w:r w:rsidR="003D43F8" w:rsidRPr="006F4DE9">
        <w:rPr>
          <w:rFonts w:cs="Arial"/>
        </w:rPr>
        <w:t xml:space="preserve"> to information provided in their submission in response to the consultation paper released by FSANZ in mid-2013. In that submission</w:t>
      </w:r>
      <w:r w:rsidR="0008451B">
        <w:rPr>
          <w:rFonts w:cs="Arial"/>
        </w:rPr>
        <w:t>,</w:t>
      </w:r>
      <w:r w:rsidR="003D43F8" w:rsidRPr="006F4DE9">
        <w:rPr>
          <w:rFonts w:cs="Arial"/>
        </w:rPr>
        <w:t xml:space="preserve"> the Applicant reported that members of the AFGC indicated that </w:t>
      </w:r>
      <w:r w:rsidR="00455E95">
        <w:rPr>
          <w:rFonts w:cs="Arial"/>
        </w:rPr>
        <w:t>between</w:t>
      </w:r>
      <w:r w:rsidR="00302BDB">
        <w:rPr>
          <w:rFonts w:cs="Arial"/>
        </w:rPr>
        <w:t xml:space="preserve"> </w:t>
      </w:r>
      <w:r w:rsidR="003D43F8" w:rsidRPr="006F4DE9">
        <w:rPr>
          <w:rFonts w:cs="Arial"/>
        </w:rPr>
        <w:t>10</w:t>
      </w:r>
      <w:r w:rsidR="00455E95">
        <w:rPr>
          <w:rFonts w:cs="Arial"/>
        </w:rPr>
        <w:t>% and</w:t>
      </w:r>
      <w:r w:rsidR="00A866AB">
        <w:rPr>
          <w:rFonts w:cs="Arial"/>
        </w:rPr>
        <w:t xml:space="preserve"> </w:t>
      </w:r>
      <w:r w:rsidR="003D43F8" w:rsidRPr="006F4DE9">
        <w:rPr>
          <w:rFonts w:cs="Arial"/>
        </w:rPr>
        <w:t>100% of products and SKUs</w:t>
      </w:r>
      <w:r w:rsidR="006C50BD">
        <w:rPr>
          <w:rStyle w:val="FootnoteReference"/>
          <w:rFonts w:cs="Arial"/>
        </w:rPr>
        <w:footnoteReference w:id="6"/>
      </w:r>
      <w:r w:rsidR="003D43F8" w:rsidRPr="006F4DE9">
        <w:rPr>
          <w:rFonts w:cs="Arial"/>
        </w:rPr>
        <w:t xml:space="preserve"> making nutrition content claims about dietary fibre do not meet the qualifying criteria in Standard 1.2.7.</w:t>
      </w:r>
      <w:r w:rsidR="003A143C">
        <w:rPr>
          <w:rFonts w:cs="Arial"/>
        </w:rPr>
        <w:t xml:space="preserve"> It is not clear whether these figures remain current</w:t>
      </w:r>
      <w:r w:rsidR="003D43F8" w:rsidRPr="006F4DE9">
        <w:rPr>
          <w:rFonts w:cs="Arial"/>
        </w:rPr>
        <w:t>.</w:t>
      </w:r>
    </w:p>
    <w:p w:rsidR="003D43F8" w:rsidRPr="006F4DE9" w:rsidRDefault="003D43F8" w:rsidP="003D43F8">
      <w:pPr>
        <w:rPr>
          <w:rFonts w:cs="Arial"/>
        </w:rPr>
      </w:pPr>
    </w:p>
    <w:p w:rsidR="003D43F8" w:rsidRDefault="00D0613C" w:rsidP="003D43F8">
      <w:pPr>
        <w:rPr>
          <w:rFonts w:cs="Arial"/>
        </w:rPr>
      </w:pPr>
      <w:r>
        <w:rPr>
          <w:rFonts w:cs="Arial"/>
        </w:rPr>
        <w:t xml:space="preserve">The Applicant </w:t>
      </w:r>
      <w:r w:rsidR="005401C8">
        <w:rPr>
          <w:rFonts w:cs="Arial"/>
        </w:rPr>
        <w:t>reported</w:t>
      </w:r>
      <w:r>
        <w:rPr>
          <w:rFonts w:cs="Arial"/>
        </w:rPr>
        <w:t xml:space="preserve"> d</w:t>
      </w:r>
      <w:r w:rsidR="003D43F8" w:rsidRPr="006F4DE9">
        <w:rPr>
          <w:rFonts w:cs="Arial"/>
        </w:rPr>
        <w:t>ata from a market survey conducted by the Grains &amp; Legumes Nutrition Council i</w:t>
      </w:r>
      <w:r w:rsidR="007F6E0E">
        <w:rPr>
          <w:rFonts w:cs="Arial"/>
        </w:rPr>
        <w:t xml:space="preserve">n December 2013 and July 2014 </w:t>
      </w:r>
      <w:r w:rsidR="005401C8">
        <w:rPr>
          <w:rFonts w:cs="Arial"/>
        </w:rPr>
        <w:t xml:space="preserve">(see </w:t>
      </w:r>
      <w:r w:rsidR="00616EC4">
        <w:rPr>
          <w:rFonts w:cs="Arial"/>
        </w:rPr>
        <w:t>Table 3</w:t>
      </w:r>
      <w:r w:rsidR="005401C8">
        <w:rPr>
          <w:rFonts w:cs="Arial"/>
        </w:rPr>
        <w:t>).</w:t>
      </w:r>
      <w:r w:rsidR="003D43F8" w:rsidRPr="006F4DE9">
        <w:rPr>
          <w:rFonts w:cs="Arial"/>
        </w:rPr>
        <w:t xml:space="preserve"> Methodology used for this survey was not provided.</w:t>
      </w:r>
    </w:p>
    <w:p w:rsidR="003D43F8" w:rsidRDefault="003D43F8" w:rsidP="003D43F8">
      <w:pPr>
        <w:rPr>
          <w:rFonts w:cs="Arial"/>
        </w:rPr>
      </w:pPr>
    </w:p>
    <w:p w:rsidR="00FA2C60" w:rsidRDefault="00FA2C60">
      <w:pPr>
        <w:widowControl/>
        <w:rPr>
          <w:rFonts w:cs="Arial"/>
          <w:b/>
        </w:rPr>
      </w:pPr>
      <w:r>
        <w:rPr>
          <w:rFonts w:cs="Arial"/>
          <w:b/>
        </w:rPr>
        <w:br w:type="page"/>
      </w:r>
    </w:p>
    <w:p w:rsidR="002557C3" w:rsidRPr="00FA2C60" w:rsidRDefault="00616EC4" w:rsidP="003D43F8">
      <w:pPr>
        <w:rPr>
          <w:rFonts w:cs="Arial"/>
          <w:b/>
        </w:rPr>
      </w:pPr>
      <w:r w:rsidRPr="00D71312">
        <w:rPr>
          <w:rFonts w:cs="Arial"/>
          <w:b/>
        </w:rPr>
        <w:lastRenderedPageBreak/>
        <w:t>Table 3</w:t>
      </w:r>
      <w:r w:rsidR="003D43F8" w:rsidRPr="00D71312">
        <w:rPr>
          <w:rFonts w:cs="Arial"/>
          <w:b/>
        </w:rPr>
        <w:t xml:space="preserve">: </w:t>
      </w:r>
      <w:r w:rsidR="00D0613C" w:rsidRPr="00D71312">
        <w:rPr>
          <w:rFonts w:cs="Arial"/>
          <w:b/>
        </w:rPr>
        <w:t xml:space="preserve"> </w:t>
      </w:r>
      <w:r w:rsidR="003D43F8" w:rsidRPr="00D71312">
        <w:rPr>
          <w:rFonts w:cs="Arial"/>
          <w:b/>
        </w:rPr>
        <w:t>Market survey conducted by Grains &amp; Legumes Nutrition Council in December 2013 and July 2014</w:t>
      </w:r>
    </w:p>
    <w:tbl>
      <w:tblPr>
        <w:tblStyle w:val="TableGrid"/>
        <w:tblW w:w="9072" w:type="dxa"/>
        <w:tblLayout w:type="fixed"/>
        <w:tblLook w:val="04A0" w:firstRow="1" w:lastRow="0" w:firstColumn="1" w:lastColumn="0" w:noHBand="0" w:noVBand="1"/>
      </w:tblPr>
      <w:tblGrid>
        <w:gridCol w:w="1815"/>
        <w:gridCol w:w="1815"/>
        <w:gridCol w:w="1814"/>
        <w:gridCol w:w="2035"/>
        <w:gridCol w:w="1593"/>
      </w:tblGrid>
      <w:tr w:rsidR="003D43F8" w:rsidRPr="00D0613C" w:rsidTr="00BD6C5B">
        <w:trPr>
          <w:tblHeader/>
        </w:trPr>
        <w:tc>
          <w:tcPr>
            <w:tcW w:w="1815" w:type="dxa"/>
            <w:shd w:val="clear" w:color="auto" w:fill="D6E3BC" w:themeFill="accent3" w:themeFillTint="66"/>
            <w:vAlign w:val="center"/>
          </w:tcPr>
          <w:p w:rsidR="003D43F8" w:rsidRPr="00D0613C" w:rsidRDefault="003D43F8" w:rsidP="009470D5">
            <w:pPr>
              <w:jc w:val="center"/>
              <w:rPr>
                <w:rFonts w:cs="Arial"/>
                <w:b/>
                <w:sz w:val="20"/>
                <w:szCs w:val="20"/>
              </w:rPr>
            </w:pPr>
            <w:r w:rsidRPr="00D0613C">
              <w:rPr>
                <w:rFonts w:cs="Arial"/>
                <w:b/>
                <w:sz w:val="20"/>
                <w:szCs w:val="20"/>
              </w:rPr>
              <w:t>Product Category</w:t>
            </w:r>
          </w:p>
        </w:tc>
        <w:tc>
          <w:tcPr>
            <w:tcW w:w="1815" w:type="dxa"/>
            <w:shd w:val="clear" w:color="auto" w:fill="D6E3BC" w:themeFill="accent3" w:themeFillTint="66"/>
            <w:vAlign w:val="center"/>
          </w:tcPr>
          <w:p w:rsidR="003D43F8" w:rsidRPr="00D0613C" w:rsidRDefault="003D43F8" w:rsidP="009470D5">
            <w:pPr>
              <w:jc w:val="center"/>
              <w:rPr>
                <w:rFonts w:cs="Arial"/>
                <w:b/>
                <w:sz w:val="20"/>
                <w:szCs w:val="20"/>
              </w:rPr>
            </w:pPr>
            <w:r w:rsidRPr="00D0613C">
              <w:rPr>
                <w:rFonts w:cs="Arial"/>
                <w:b/>
                <w:sz w:val="20"/>
                <w:szCs w:val="20"/>
              </w:rPr>
              <w:t>Survey Date</w:t>
            </w:r>
          </w:p>
        </w:tc>
        <w:tc>
          <w:tcPr>
            <w:tcW w:w="1814" w:type="dxa"/>
            <w:shd w:val="clear" w:color="auto" w:fill="D6E3BC" w:themeFill="accent3" w:themeFillTint="66"/>
            <w:vAlign w:val="center"/>
          </w:tcPr>
          <w:p w:rsidR="003D43F8" w:rsidRPr="00D0613C" w:rsidRDefault="003D43F8" w:rsidP="009470D5">
            <w:pPr>
              <w:jc w:val="center"/>
              <w:rPr>
                <w:rFonts w:cs="Arial"/>
                <w:b/>
                <w:sz w:val="20"/>
                <w:szCs w:val="20"/>
              </w:rPr>
            </w:pPr>
            <w:r w:rsidRPr="00D0613C">
              <w:rPr>
                <w:rFonts w:cs="Arial"/>
                <w:b/>
                <w:sz w:val="20"/>
                <w:szCs w:val="20"/>
              </w:rPr>
              <w:t>Number of products making dietary fibre claims</w:t>
            </w:r>
          </w:p>
        </w:tc>
        <w:tc>
          <w:tcPr>
            <w:tcW w:w="2035" w:type="dxa"/>
            <w:shd w:val="clear" w:color="auto" w:fill="D6E3BC" w:themeFill="accent3" w:themeFillTint="66"/>
            <w:vAlign w:val="center"/>
          </w:tcPr>
          <w:p w:rsidR="003D43F8" w:rsidRPr="00D0613C" w:rsidRDefault="003D43F8" w:rsidP="009470D5">
            <w:pPr>
              <w:jc w:val="center"/>
              <w:rPr>
                <w:rFonts w:cs="Arial"/>
                <w:b/>
                <w:sz w:val="20"/>
                <w:szCs w:val="20"/>
              </w:rPr>
            </w:pPr>
            <w:r w:rsidRPr="00D0613C">
              <w:rPr>
                <w:rFonts w:cs="Arial"/>
                <w:b/>
                <w:sz w:val="20"/>
                <w:szCs w:val="20"/>
              </w:rPr>
              <w:t xml:space="preserve">Number of products making dietary fibre claims that do not meet </w:t>
            </w:r>
            <w:r w:rsidR="002D0D2A">
              <w:rPr>
                <w:rFonts w:cs="Arial"/>
                <w:b/>
                <w:sz w:val="20"/>
                <w:szCs w:val="20"/>
              </w:rPr>
              <w:t xml:space="preserve">qualifying </w:t>
            </w:r>
            <w:r w:rsidRPr="00D0613C">
              <w:rPr>
                <w:rFonts w:cs="Arial"/>
                <w:b/>
                <w:sz w:val="20"/>
                <w:szCs w:val="20"/>
              </w:rPr>
              <w:t>criteria in Standard 1.2.7</w:t>
            </w:r>
          </w:p>
        </w:tc>
        <w:tc>
          <w:tcPr>
            <w:tcW w:w="1593" w:type="dxa"/>
            <w:shd w:val="clear" w:color="auto" w:fill="D6E3BC" w:themeFill="accent3" w:themeFillTint="66"/>
            <w:vAlign w:val="center"/>
          </w:tcPr>
          <w:p w:rsidR="003D43F8" w:rsidRPr="00D0613C" w:rsidRDefault="003D43F8" w:rsidP="009470D5">
            <w:pPr>
              <w:jc w:val="center"/>
              <w:rPr>
                <w:rFonts w:cs="Arial"/>
                <w:b/>
                <w:sz w:val="20"/>
                <w:szCs w:val="20"/>
              </w:rPr>
            </w:pPr>
            <w:r w:rsidRPr="00D0613C">
              <w:rPr>
                <w:rFonts w:cs="Arial"/>
                <w:b/>
                <w:sz w:val="20"/>
                <w:szCs w:val="20"/>
              </w:rPr>
              <w:t>Latest product date mark</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Breads and bread products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Dec 2013</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150</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16</w:t>
            </w:r>
          </w:p>
        </w:tc>
        <w:tc>
          <w:tcPr>
            <w:tcW w:w="1593" w:type="dxa"/>
            <w:vAlign w:val="center"/>
          </w:tcPr>
          <w:p w:rsidR="003D43F8" w:rsidRPr="00FD0D02" w:rsidRDefault="003D43F8" w:rsidP="009470D5">
            <w:pPr>
              <w:jc w:val="center"/>
              <w:rPr>
                <w:rFonts w:cs="Arial"/>
                <w:sz w:val="20"/>
                <w:szCs w:val="20"/>
              </w:rPr>
            </w:pP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Breakfast cereals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Dec 2013</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176</w:t>
            </w:r>
          </w:p>
        </w:tc>
        <w:tc>
          <w:tcPr>
            <w:tcW w:w="2035" w:type="dxa"/>
            <w:vAlign w:val="center"/>
          </w:tcPr>
          <w:p w:rsidR="003D43F8" w:rsidRPr="00FD0D02" w:rsidRDefault="005613EC" w:rsidP="009470D5">
            <w:pPr>
              <w:jc w:val="center"/>
              <w:rPr>
                <w:rFonts w:cs="Arial"/>
                <w:sz w:val="20"/>
                <w:szCs w:val="20"/>
              </w:rPr>
            </w:pPr>
            <w:r>
              <w:rPr>
                <w:rFonts w:cs="Arial"/>
                <w:sz w:val="20"/>
                <w:szCs w:val="20"/>
              </w:rPr>
              <w:t>48</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Aug 2015</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Grains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Dec 2013</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47</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9</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Oct 2014</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Pasta</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Dec 2013</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22</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5</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Nov 2015</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Soups with legumes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July 2014</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10</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2</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May 2015</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Liquid breakfast drinks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July 2014</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29</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6</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Jun 2015</w:t>
            </w:r>
          </w:p>
        </w:tc>
      </w:tr>
      <w:tr w:rsidR="003D43F8" w:rsidTr="00BD6C5B">
        <w:tc>
          <w:tcPr>
            <w:tcW w:w="1815" w:type="dxa"/>
          </w:tcPr>
          <w:p w:rsidR="003D43F8" w:rsidRPr="00FD0D02" w:rsidRDefault="003D43F8" w:rsidP="00401DBD">
            <w:pPr>
              <w:rPr>
                <w:rFonts w:cs="Arial"/>
                <w:sz w:val="20"/>
                <w:szCs w:val="20"/>
              </w:rPr>
            </w:pPr>
            <w:r w:rsidRPr="00FD0D02">
              <w:rPr>
                <w:rFonts w:cs="Arial"/>
                <w:sz w:val="20"/>
                <w:szCs w:val="20"/>
              </w:rPr>
              <w:t>Legumes canned and dried</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July 2014</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77</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9</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Jun 2016</w:t>
            </w:r>
          </w:p>
        </w:tc>
      </w:tr>
      <w:tr w:rsidR="003D43F8" w:rsidTr="00BD6C5B">
        <w:trPr>
          <w:cantSplit/>
        </w:trPr>
        <w:tc>
          <w:tcPr>
            <w:tcW w:w="1815" w:type="dxa"/>
          </w:tcPr>
          <w:p w:rsidR="003D43F8" w:rsidRPr="00FD0D02" w:rsidRDefault="003D43F8" w:rsidP="00FA2C60">
            <w:pPr>
              <w:keepNext/>
              <w:rPr>
                <w:rFonts w:cs="Arial"/>
                <w:sz w:val="20"/>
                <w:szCs w:val="20"/>
              </w:rPr>
            </w:pPr>
            <w:r w:rsidRPr="00FD0D02">
              <w:rPr>
                <w:rFonts w:cs="Arial"/>
                <w:sz w:val="20"/>
                <w:szCs w:val="20"/>
              </w:rPr>
              <w:t>Muesli bars</w:t>
            </w:r>
          </w:p>
        </w:tc>
        <w:tc>
          <w:tcPr>
            <w:tcW w:w="1815" w:type="dxa"/>
            <w:vAlign w:val="center"/>
          </w:tcPr>
          <w:p w:rsidR="003D43F8" w:rsidRPr="00FD0D02" w:rsidRDefault="003D43F8" w:rsidP="009470D5">
            <w:pPr>
              <w:jc w:val="center"/>
              <w:rPr>
                <w:rFonts w:cs="Arial"/>
                <w:sz w:val="20"/>
                <w:szCs w:val="20"/>
              </w:rPr>
            </w:pPr>
            <w:r w:rsidRPr="00FD0D02">
              <w:rPr>
                <w:rFonts w:cs="Arial"/>
                <w:sz w:val="20"/>
                <w:szCs w:val="20"/>
              </w:rPr>
              <w:t>July 2014</w:t>
            </w:r>
          </w:p>
        </w:tc>
        <w:tc>
          <w:tcPr>
            <w:tcW w:w="1814" w:type="dxa"/>
            <w:vAlign w:val="center"/>
          </w:tcPr>
          <w:p w:rsidR="003D43F8" w:rsidRPr="00FD0D02" w:rsidRDefault="003D43F8" w:rsidP="009470D5">
            <w:pPr>
              <w:jc w:val="center"/>
              <w:rPr>
                <w:rFonts w:cs="Arial"/>
                <w:sz w:val="20"/>
                <w:szCs w:val="20"/>
              </w:rPr>
            </w:pPr>
            <w:r w:rsidRPr="00FD0D02">
              <w:rPr>
                <w:rFonts w:cs="Arial"/>
                <w:sz w:val="20"/>
                <w:szCs w:val="20"/>
              </w:rPr>
              <w:t>71</w:t>
            </w:r>
          </w:p>
        </w:tc>
        <w:tc>
          <w:tcPr>
            <w:tcW w:w="2035" w:type="dxa"/>
            <w:vAlign w:val="center"/>
          </w:tcPr>
          <w:p w:rsidR="003D43F8" w:rsidRPr="00FD0D02" w:rsidRDefault="003D43F8" w:rsidP="009470D5">
            <w:pPr>
              <w:jc w:val="center"/>
              <w:rPr>
                <w:rFonts w:cs="Arial"/>
                <w:sz w:val="20"/>
                <w:szCs w:val="20"/>
              </w:rPr>
            </w:pPr>
            <w:r w:rsidRPr="00FD0D02">
              <w:rPr>
                <w:rFonts w:cs="Arial"/>
                <w:sz w:val="20"/>
                <w:szCs w:val="20"/>
              </w:rPr>
              <w:t>14</w:t>
            </w:r>
          </w:p>
        </w:tc>
        <w:tc>
          <w:tcPr>
            <w:tcW w:w="1593" w:type="dxa"/>
            <w:vAlign w:val="center"/>
          </w:tcPr>
          <w:p w:rsidR="003D43F8" w:rsidRPr="00FD0D02" w:rsidRDefault="003D43F8" w:rsidP="009470D5">
            <w:pPr>
              <w:jc w:val="center"/>
              <w:rPr>
                <w:rFonts w:cs="Arial"/>
                <w:sz w:val="20"/>
                <w:szCs w:val="20"/>
              </w:rPr>
            </w:pPr>
            <w:r w:rsidRPr="00FD0D02">
              <w:rPr>
                <w:rFonts w:cs="Arial"/>
                <w:sz w:val="20"/>
                <w:szCs w:val="20"/>
              </w:rPr>
              <w:t>May 2015</w:t>
            </w:r>
          </w:p>
        </w:tc>
      </w:tr>
      <w:tr w:rsidR="003D43F8" w:rsidTr="00BD6C5B">
        <w:tc>
          <w:tcPr>
            <w:tcW w:w="1815" w:type="dxa"/>
            <w:tcBorders>
              <w:bottom w:val="double" w:sz="4" w:space="0" w:color="auto"/>
            </w:tcBorders>
          </w:tcPr>
          <w:p w:rsidR="003D43F8" w:rsidRPr="00FD0D02" w:rsidRDefault="003D43F8" w:rsidP="00401DBD">
            <w:pPr>
              <w:rPr>
                <w:rFonts w:cs="Arial"/>
                <w:sz w:val="20"/>
                <w:szCs w:val="20"/>
              </w:rPr>
            </w:pPr>
            <w:r w:rsidRPr="00FD0D02">
              <w:rPr>
                <w:rFonts w:cs="Arial"/>
                <w:sz w:val="20"/>
                <w:szCs w:val="20"/>
              </w:rPr>
              <w:t>Rice cakes</w:t>
            </w:r>
          </w:p>
        </w:tc>
        <w:tc>
          <w:tcPr>
            <w:tcW w:w="1815" w:type="dxa"/>
            <w:tcBorders>
              <w:bottom w:val="double" w:sz="4" w:space="0" w:color="auto"/>
            </w:tcBorders>
            <w:vAlign w:val="center"/>
          </w:tcPr>
          <w:p w:rsidR="003D43F8" w:rsidRPr="00FD0D02" w:rsidRDefault="003D43F8" w:rsidP="009470D5">
            <w:pPr>
              <w:jc w:val="center"/>
              <w:rPr>
                <w:rFonts w:cs="Arial"/>
                <w:sz w:val="20"/>
                <w:szCs w:val="20"/>
              </w:rPr>
            </w:pPr>
            <w:r w:rsidRPr="00FD0D02">
              <w:rPr>
                <w:rFonts w:cs="Arial"/>
                <w:sz w:val="20"/>
                <w:szCs w:val="20"/>
              </w:rPr>
              <w:t>July 2014</w:t>
            </w:r>
          </w:p>
        </w:tc>
        <w:tc>
          <w:tcPr>
            <w:tcW w:w="1814" w:type="dxa"/>
            <w:tcBorders>
              <w:bottom w:val="double" w:sz="4" w:space="0" w:color="auto"/>
            </w:tcBorders>
            <w:vAlign w:val="center"/>
          </w:tcPr>
          <w:p w:rsidR="003D43F8" w:rsidRPr="00FD0D02" w:rsidRDefault="003D43F8" w:rsidP="009470D5">
            <w:pPr>
              <w:jc w:val="center"/>
              <w:rPr>
                <w:rFonts w:cs="Arial"/>
                <w:sz w:val="20"/>
                <w:szCs w:val="20"/>
              </w:rPr>
            </w:pPr>
            <w:r w:rsidRPr="00FD0D02">
              <w:rPr>
                <w:rFonts w:cs="Arial"/>
                <w:sz w:val="20"/>
                <w:szCs w:val="20"/>
              </w:rPr>
              <w:t>7</w:t>
            </w:r>
          </w:p>
        </w:tc>
        <w:tc>
          <w:tcPr>
            <w:tcW w:w="2035" w:type="dxa"/>
            <w:tcBorders>
              <w:bottom w:val="double" w:sz="4" w:space="0" w:color="auto"/>
            </w:tcBorders>
            <w:vAlign w:val="center"/>
          </w:tcPr>
          <w:p w:rsidR="003D43F8" w:rsidRPr="00FD0D02" w:rsidRDefault="003D43F8" w:rsidP="009470D5">
            <w:pPr>
              <w:jc w:val="center"/>
              <w:rPr>
                <w:rFonts w:cs="Arial"/>
                <w:sz w:val="20"/>
                <w:szCs w:val="20"/>
              </w:rPr>
            </w:pPr>
            <w:r w:rsidRPr="00FD0D02">
              <w:rPr>
                <w:rFonts w:cs="Arial"/>
                <w:sz w:val="20"/>
                <w:szCs w:val="20"/>
              </w:rPr>
              <w:t>7</w:t>
            </w:r>
          </w:p>
        </w:tc>
        <w:tc>
          <w:tcPr>
            <w:tcW w:w="1593" w:type="dxa"/>
            <w:tcBorders>
              <w:bottom w:val="double" w:sz="4" w:space="0" w:color="auto"/>
            </w:tcBorders>
            <w:vAlign w:val="center"/>
          </w:tcPr>
          <w:p w:rsidR="003D43F8" w:rsidRPr="00FD0D02" w:rsidRDefault="003D43F8" w:rsidP="009470D5">
            <w:pPr>
              <w:jc w:val="center"/>
              <w:rPr>
                <w:rFonts w:cs="Arial"/>
                <w:sz w:val="20"/>
                <w:szCs w:val="20"/>
              </w:rPr>
            </w:pPr>
            <w:r w:rsidRPr="00FD0D02">
              <w:rPr>
                <w:rFonts w:cs="Arial"/>
                <w:sz w:val="20"/>
                <w:szCs w:val="20"/>
              </w:rPr>
              <w:t>Nov 2014</w:t>
            </w:r>
          </w:p>
        </w:tc>
      </w:tr>
      <w:tr w:rsidR="003D43F8" w:rsidRPr="003F3D9B" w:rsidTr="00BD6C5B">
        <w:tc>
          <w:tcPr>
            <w:tcW w:w="1815" w:type="dxa"/>
            <w:tcBorders>
              <w:top w:val="double" w:sz="4" w:space="0" w:color="auto"/>
              <w:bottom w:val="double" w:sz="4" w:space="0" w:color="auto"/>
            </w:tcBorders>
          </w:tcPr>
          <w:p w:rsidR="003D43F8" w:rsidRPr="00FD0D02" w:rsidRDefault="003D43F8" w:rsidP="00401DBD">
            <w:pPr>
              <w:rPr>
                <w:rFonts w:cs="Arial"/>
                <w:b/>
                <w:sz w:val="20"/>
                <w:szCs w:val="20"/>
              </w:rPr>
            </w:pPr>
            <w:r w:rsidRPr="00FD0D02">
              <w:rPr>
                <w:rFonts w:cs="Arial"/>
                <w:b/>
                <w:sz w:val="20"/>
                <w:szCs w:val="20"/>
              </w:rPr>
              <w:t>TOTAL</w:t>
            </w:r>
          </w:p>
        </w:tc>
        <w:tc>
          <w:tcPr>
            <w:tcW w:w="1815" w:type="dxa"/>
            <w:tcBorders>
              <w:top w:val="double" w:sz="4" w:space="0" w:color="auto"/>
              <w:bottom w:val="double" w:sz="4" w:space="0" w:color="auto"/>
            </w:tcBorders>
          </w:tcPr>
          <w:p w:rsidR="003D43F8" w:rsidRPr="00FD0D02" w:rsidRDefault="003D43F8" w:rsidP="00401DBD">
            <w:pPr>
              <w:rPr>
                <w:rFonts w:cs="Arial"/>
                <w:b/>
                <w:sz w:val="20"/>
                <w:szCs w:val="20"/>
              </w:rPr>
            </w:pPr>
          </w:p>
        </w:tc>
        <w:tc>
          <w:tcPr>
            <w:tcW w:w="1814" w:type="dxa"/>
            <w:tcBorders>
              <w:top w:val="double" w:sz="4" w:space="0" w:color="auto"/>
              <w:bottom w:val="double" w:sz="4" w:space="0" w:color="auto"/>
            </w:tcBorders>
            <w:vAlign w:val="center"/>
          </w:tcPr>
          <w:p w:rsidR="003D43F8" w:rsidRPr="00FD0D02" w:rsidRDefault="003D43F8" w:rsidP="009470D5">
            <w:pPr>
              <w:jc w:val="center"/>
              <w:rPr>
                <w:rFonts w:cs="Arial"/>
                <w:b/>
                <w:sz w:val="20"/>
                <w:szCs w:val="20"/>
              </w:rPr>
            </w:pPr>
            <w:r w:rsidRPr="00FD0D02">
              <w:rPr>
                <w:rFonts w:cs="Arial"/>
                <w:b/>
                <w:sz w:val="20"/>
                <w:szCs w:val="20"/>
              </w:rPr>
              <w:t>589</w:t>
            </w:r>
          </w:p>
        </w:tc>
        <w:tc>
          <w:tcPr>
            <w:tcW w:w="2035" w:type="dxa"/>
            <w:tcBorders>
              <w:top w:val="double" w:sz="4" w:space="0" w:color="auto"/>
              <w:bottom w:val="double" w:sz="4" w:space="0" w:color="auto"/>
            </w:tcBorders>
            <w:vAlign w:val="center"/>
          </w:tcPr>
          <w:p w:rsidR="003D43F8" w:rsidRPr="00FD0D02" w:rsidRDefault="003D43F8" w:rsidP="009470D5">
            <w:pPr>
              <w:jc w:val="center"/>
              <w:rPr>
                <w:rFonts w:cs="Arial"/>
                <w:b/>
                <w:sz w:val="20"/>
                <w:szCs w:val="20"/>
              </w:rPr>
            </w:pPr>
            <w:r w:rsidRPr="00FD0D02">
              <w:rPr>
                <w:rFonts w:cs="Arial"/>
                <w:b/>
                <w:sz w:val="20"/>
                <w:szCs w:val="20"/>
              </w:rPr>
              <w:t>116</w:t>
            </w:r>
          </w:p>
        </w:tc>
        <w:tc>
          <w:tcPr>
            <w:tcW w:w="1593" w:type="dxa"/>
            <w:tcBorders>
              <w:top w:val="double" w:sz="4" w:space="0" w:color="auto"/>
              <w:bottom w:val="double" w:sz="4" w:space="0" w:color="auto"/>
            </w:tcBorders>
            <w:vAlign w:val="center"/>
          </w:tcPr>
          <w:p w:rsidR="003D43F8" w:rsidRPr="00FD0D02" w:rsidRDefault="003D43F8" w:rsidP="009470D5">
            <w:pPr>
              <w:jc w:val="center"/>
              <w:rPr>
                <w:rFonts w:cs="Arial"/>
                <w:b/>
                <w:sz w:val="20"/>
                <w:szCs w:val="20"/>
              </w:rPr>
            </w:pPr>
          </w:p>
        </w:tc>
      </w:tr>
    </w:tbl>
    <w:p w:rsidR="003D43F8" w:rsidRDefault="003D43F8" w:rsidP="003D43F8">
      <w:pPr>
        <w:rPr>
          <w:rFonts w:cs="Arial"/>
        </w:rPr>
      </w:pPr>
    </w:p>
    <w:p w:rsidR="003D43F8" w:rsidRDefault="00D0613C" w:rsidP="00D0613C">
      <w:pPr>
        <w:rPr>
          <w:rFonts w:cs="Arial"/>
        </w:rPr>
      </w:pPr>
      <w:r>
        <w:rPr>
          <w:rFonts w:cs="Arial"/>
        </w:rPr>
        <w:t xml:space="preserve">Cost estimates for product withdrawal and relabelling </w:t>
      </w:r>
      <w:r w:rsidR="005401C8">
        <w:rPr>
          <w:rFonts w:cs="Arial"/>
        </w:rPr>
        <w:t>based on</w:t>
      </w:r>
      <w:r>
        <w:rPr>
          <w:rFonts w:cs="Arial"/>
        </w:rPr>
        <w:t xml:space="preserve"> th</w:t>
      </w:r>
      <w:r w:rsidR="00616EC4">
        <w:rPr>
          <w:rFonts w:cs="Arial"/>
        </w:rPr>
        <w:t>ese data are provided in Table 4. Table 4</w:t>
      </w:r>
      <w:r>
        <w:rPr>
          <w:rFonts w:cs="Arial"/>
        </w:rPr>
        <w:t xml:space="preserve"> also provides a summary of cost information provided by three submitters.</w:t>
      </w:r>
    </w:p>
    <w:p w:rsidR="003D43F8" w:rsidRPr="00FD0D02" w:rsidRDefault="003D43F8" w:rsidP="003D43F8">
      <w:pPr>
        <w:rPr>
          <w:rFonts w:cs="Arial"/>
        </w:rPr>
      </w:pPr>
    </w:p>
    <w:p w:rsidR="003D43F8" w:rsidRPr="00FD0D02" w:rsidRDefault="003D43F8" w:rsidP="003D43F8">
      <w:pPr>
        <w:rPr>
          <w:rFonts w:cs="Arial"/>
        </w:rPr>
      </w:pPr>
      <w:r w:rsidRPr="00FD0D02">
        <w:rPr>
          <w:rFonts w:cs="Arial"/>
        </w:rPr>
        <w:t>The Applicant noted that</w:t>
      </w:r>
      <w:r w:rsidR="0008451B">
        <w:rPr>
          <w:rFonts w:cs="Arial"/>
        </w:rPr>
        <w:t>,</w:t>
      </w:r>
      <w:r w:rsidRPr="00FD0D02">
        <w:rPr>
          <w:rFonts w:cs="Arial"/>
        </w:rPr>
        <w:t xml:space="preserve"> with the decision on the qualifying criteria not being made until December 2013, </w:t>
      </w:r>
      <w:r w:rsidR="005401C8">
        <w:rPr>
          <w:rFonts w:cs="Arial"/>
        </w:rPr>
        <w:t>one member of AFGC would not</w:t>
      </w:r>
      <w:r w:rsidRPr="00FD0D02">
        <w:rPr>
          <w:rFonts w:cs="Arial"/>
        </w:rPr>
        <w:t xml:space="preserve"> have sufficient time to reformulate products to meet the higher criteria. This member may therefore incur costs for relabelling in order to comply with the requirements by January 2016</w:t>
      </w:r>
      <w:r w:rsidR="0008451B">
        <w:rPr>
          <w:rFonts w:cs="Arial"/>
        </w:rPr>
        <w:t>,</w:t>
      </w:r>
      <w:r w:rsidRPr="00FD0D02">
        <w:rPr>
          <w:rFonts w:cs="Arial"/>
        </w:rPr>
        <w:t xml:space="preserve"> followed by reformulation costs at a later date. </w:t>
      </w:r>
      <w:r w:rsidR="00D0613C">
        <w:rPr>
          <w:rFonts w:cs="Arial"/>
        </w:rPr>
        <w:t xml:space="preserve">The Applicant stated that this could </w:t>
      </w:r>
      <w:r w:rsidRPr="00FD0D02">
        <w:rPr>
          <w:rFonts w:cs="Arial"/>
        </w:rPr>
        <w:t xml:space="preserve">cause confusion for consumers with changes in claims. The member advised the Applicant that if the delay in the </w:t>
      </w:r>
      <w:r w:rsidR="00483503">
        <w:rPr>
          <w:rFonts w:cs="Arial"/>
        </w:rPr>
        <w:t xml:space="preserve">requirement to comply with </w:t>
      </w:r>
      <w:r w:rsidR="002F7F15">
        <w:rPr>
          <w:rFonts w:cs="Arial"/>
        </w:rPr>
        <w:t>the qualifying criteria for nutrition content claims about dietary fibre</w:t>
      </w:r>
      <w:r w:rsidRPr="00FD0D02">
        <w:rPr>
          <w:rFonts w:cs="Arial"/>
        </w:rPr>
        <w:t xml:space="preserve"> </w:t>
      </w:r>
      <w:r w:rsidR="00366A67">
        <w:rPr>
          <w:rFonts w:cs="Arial"/>
        </w:rPr>
        <w:t>was granted then</w:t>
      </w:r>
      <w:r w:rsidRPr="00FD0D02">
        <w:rPr>
          <w:rFonts w:cs="Arial"/>
        </w:rPr>
        <w:t xml:space="preserve"> product reformulation could be complet</w:t>
      </w:r>
      <w:r>
        <w:rPr>
          <w:rFonts w:cs="Arial"/>
        </w:rPr>
        <w:t>ed, avoiding relabelling costs.</w:t>
      </w:r>
    </w:p>
    <w:p w:rsidR="003D43F8" w:rsidRPr="00FD0D02" w:rsidRDefault="003D43F8" w:rsidP="003D43F8">
      <w:pPr>
        <w:rPr>
          <w:rFonts w:cs="Arial"/>
        </w:rPr>
      </w:pPr>
    </w:p>
    <w:p w:rsidR="003D43F8" w:rsidRPr="004446FF" w:rsidRDefault="005401C8" w:rsidP="003D43F8">
      <w:pPr>
        <w:rPr>
          <w:rFonts w:cs="Arial"/>
        </w:rPr>
      </w:pPr>
      <w:r>
        <w:rPr>
          <w:rFonts w:cs="Arial"/>
        </w:rPr>
        <w:t>The Applicant stated</w:t>
      </w:r>
      <w:r w:rsidR="003D43F8" w:rsidRPr="00FD0D02">
        <w:rPr>
          <w:rFonts w:cs="Arial"/>
        </w:rPr>
        <w:t xml:space="preserve"> that a delay in the </w:t>
      </w:r>
      <w:r w:rsidR="004446FF">
        <w:rPr>
          <w:rFonts w:cs="Arial"/>
        </w:rPr>
        <w:t xml:space="preserve">requirement to comply with </w:t>
      </w:r>
      <w:r w:rsidR="002F7F15">
        <w:rPr>
          <w:rFonts w:cs="Arial"/>
        </w:rPr>
        <w:t>the qualifying criteria</w:t>
      </w:r>
      <w:r w:rsidR="003D43F8" w:rsidRPr="00FD0D02">
        <w:rPr>
          <w:rFonts w:cs="Arial"/>
        </w:rPr>
        <w:t xml:space="preserve"> for nutrition content claims about dietary fibre is unlikely to affect consumers, </w:t>
      </w:r>
      <w:r>
        <w:rPr>
          <w:rFonts w:cs="Arial"/>
        </w:rPr>
        <w:t>noting</w:t>
      </w:r>
      <w:r w:rsidR="003D43F8" w:rsidRPr="00FD0D02">
        <w:rPr>
          <w:rFonts w:cs="Arial"/>
        </w:rPr>
        <w:t xml:space="preserve"> there is </w:t>
      </w:r>
      <w:r>
        <w:rPr>
          <w:rFonts w:cs="Arial"/>
        </w:rPr>
        <w:t xml:space="preserve">also </w:t>
      </w:r>
      <w:r w:rsidR="003D43F8" w:rsidRPr="00FD0D02">
        <w:rPr>
          <w:rFonts w:cs="Arial"/>
        </w:rPr>
        <w:t>potential for less impact on claims as more current claims may be maintained. The additional time would give food businesses more time to communicate any changes to claims to consumers. Since products carrying claims are required to declare the amount of dietary fibre in the nutrition information panel, the Applicant asserts that consumers will still have information on which to base an informed choice.</w:t>
      </w:r>
      <w:r w:rsidR="004446FF">
        <w:rPr>
          <w:rFonts w:cs="Arial"/>
        </w:rPr>
        <w:t xml:space="preserve"> We note that the Grains </w:t>
      </w:r>
      <w:r w:rsidR="002F7F15">
        <w:rPr>
          <w:rFonts w:cs="Arial"/>
        </w:rPr>
        <w:t>&amp;</w:t>
      </w:r>
      <w:r w:rsidR="004446FF">
        <w:rPr>
          <w:rFonts w:cs="Arial"/>
        </w:rPr>
        <w:t xml:space="preserve"> Legumes Nutrition Council stated in their submission that </w:t>
      </w:r>
      <w:r w:rsidR="00366A67">
        <w:rPr>
          <w:rFonts w:cs="Arial"/>
        </w:rPr>
        <w:t xml:space="preserve">if a delay </w:t>
      </w:r>
      <w:r w:rsidR="00366A67" w:rsidRPr="00FD0D02">
        <w:rPr>
          <w:rFonts w:cs="Arial"/>
        </w:rPr>
        <w:t xml:space="preserve">in the </w:t>
      </w:r>
      <w:r w:rsidR="00366A67">
        <w:rPr>
          <w:rFonts w:cs="Arial"/>
        </w:rPr>
        <w:t>requirement to comply with the qualifying criteria</w:t>
      </w:r>
      <w:r w:rsidR="00366A67" w:rsidRPr="00FD0D02">
        <w:rPr>
          <w:rFonts w:cs="Arial"/>
        </w:rPr>
        <w:t xml:space="preserve"> for nutrition content claims about dietary fibre</w:t>
      </w:r>
      <w:r w:rsidR="00366A67">
        <w:rPr>
          <w:rFonts w:cs="Arial"/>
        </w:rPr>
        <w:t xml:space="preserve"> is not granted</w:t>
      </w:r>
      <w:r w:rsidR="001B2DB1">
        <w:rPr>
          <w:rFonts w:cs="Arial"/>
        </w:rPr>
        <w:t xml:space="preserve">, </w:t>
      </w:r>
      <w:r w:rsidR="004446FF">
        <w:rPr>
          <w:rFonts w:cs="Arial"/>
        </w:rPr>
        <w:t>consumers could be affected as costs incurred by industry to write-off packaging may be passed on to consumers</w:t>
      </w:r>
      <w:r w:rsidR="001B2DB1">
        <w:rPr>
          <w:rFonts w:cs="Arial"/>
        </w:rPr>
        <w:t>.</w:t>
      </w:r>
    </w:p>
    <w:p w:rsidR="003D43F8" w:rsidRPr="00AB39B7" w:rsidRDefault="003D43F8" w:rsidP="003D43F8">
      <w:pPr>
        <w:rPr>
          <w:rFonts w:cs="Arial"/>
        </w:rPr>
      </w:pPr>
    </w:p>
    <w:p w:rsidR="00296D3D" w:rsidRDefault="003D43F8" w:rsidP="003D43F8">
      <w:pPr>
        <w:rPr>
          <w:rFonts w:cs="Arial"/>
        </w:rPr>
      </w:pPr>
      <w:r>
        <w:rPr>
          <w:rFonts w:cs="Arial"/>
        </w:rPr>
        <w:t xml:space="preserve">In summary, if the </w:t>
      </w:r>
      <w:r w:rsidR="004446FF">
        <w:rPr>
          <w:rFonts w:cs="Arial"/>
        </w:rPr>
        <w:t>requirement to comply with</w:t>
      </w:r>
      <w:r>
        <w:rPr>
          <w:rFonts w:cs="Arial"/>
        </w:rPr>
        <w:t xml:space="preserve"> </w:t>
      </w:r>
      <w:r w:rsidR="002F7F15">
        <w:rPr>
          <w:rFonts w:cs="Arial"/>
        </w:rPr>
        <w:t>the qualifying criteria for</w:t>
      </w:r>
      <w:r>
        <w:rPr>
          <w:rFonts w:cs="Arial"/>
        </w:rPr>
        <w:t xml:space="preserve"> nutrition content cl</w:t>
      </w:r>
      <w:r w:rsidR="00296D3D">
        <w:rPr>
          <w:rFonts w:cs="Arial"/>
        </w:rPr>
        <w:t xml:space="preserve">aims about dietary fibre is </w:t>
      </w:r>
      <w:r>
        <w:rPr>
          <w:rFonts w:cs="Arial"/>
        </w:rPr>
        <w:t>delayed by 12 months</w:t>
      </w:r>
      <w:r w:rsidR="002542FF">
        <w:rPr>
          <w:rFonts w:cs="Arial"/>
        </w:rPr>
        <w:t>,</w:t>
      </w:r>
      <w:r w:rsidR="00296D3D">
        <w:rPr>
          <w:rFonts w:cs="Arial"/>
        </w:rPr>
        <w:t xml:space="preserve"> </w:t>
      </w:r>
      <w:r w:rsidR="00FE33D7">
        <w:rPr>
          <w:rFonts w:cs="Arial"/>
        </w:rPr>
        <w:t xml:space="preserve">from the information provided by the Applicant and submitters, </w:t>
      </w:r>
      <w:r w:rsidR="00296D3D">
        <w:rPr>
          <w:rFonts w:cs="Arial"/>
        </w:rPr>
        <w:t>it appears that costs particularly relating to product</w:t>
      </w:r>
      <w:r w:rsidR="00DB57FA">
        <w:rPr>
          <w:rFonts w:cs="Arial"/>
        </w:rPr>
        <w:t xml:space="preserve"> withdrawal and packaging write-</w:t>
      </w:r>
      <w:r w:rsidR="00296D3D">
        <w:rPr>
          <w:rFonts w:cs="Arial"/>
        </w:rPr>
        <w:t xml:space="preserve">off would largely be avoided. Some labelling costs may also be reduced. A delay in </w:t>
      </w:r>
      <w:r w:rsidR="00E30908">
        <w:rPr>
          <w:rFonts w:cs="Arial"/>
        </w:rPr>
        <w:t xml:space="preserve">the requirement to comply </w:t>
      </w:r>
      <w:r w:rsidR="002F7F15">
        <w:rPr>
          <w:rFonts w:cs="Arial"/>
        </w:rPr>
        <w:t xml:space="preserve">with the qualifying criteria for nutrition content claims about dietary fibre </w:t>
      </w:r>
      <w:r w:rsidR="00296D3D">
        <w:rPr>
          <w:rFonts w:cs="Arial"/>
        </w:rPr>
        <w:t xml:space="preserve">would also allow a further 12 months for the completion of product reformulation activities avoiding the need to </w:t>
      </w:r>
      <w:r w:rsidR="005401C8">
        <w:rPr>
          <w:rFonts w:cs="Arial"/>
        </w:rPr>
        <w:t>put a hold on</w:t>
      </w:r>
      <w:r w:rsidR="00296D3D">
        <w:rPr>
          <w:rFonts w:cs="Arial"/>
        </w:rPr>
        <w:t xml:space="preserve"> reformulation, re-label products and then complete the reformulation at a later date.</w:t>
      </w:r>
      <w:r w:rsidR="00FE33D7">
        <w:rPr>
          <w:rFonts w:cs="Arial"/>
        </w:rPr>
        <w:t xml:space="preserve"> </w:t>
      </w:r>
    </w:p>
    <w:p w:rsidR="002557C3" w:rsidRPr="00FA2C60" w:rsidRDefault="00CD4C45" w:rsidP="003D43F8">
      <w:pPr>
        <w:rPr>
          <w:b/>
          <w:lang w:bidi="ar-SA"/>
        </w:rPr>
      </w:pPr>
      <w:r w:rsidRPr="00D71312">
        <w:rPr>
          <w:b/>
          <w:lang w:bidi="ar-SA"/>
        </w:rPr>
        <w:lastRenderedPageBreak/>
        <w:t>Table</w:t>
      </w:r>
      <w:r w:rsidR="002557C3" w:rsidRPr="00D71312">
        <w:rPr>
          <w:b/>
          <w:lang w:bidi="ar-SA"/>
        </w:rPr>
        <w:t xml:space="preserve"> 4</w:t>
      </w:r>
      <w:r w:rsidR="00296D3D" w:rsidRPr="00D71312">
        <w:rPr>
          <w:b/>
          <w:lang w:bidi="ar-SA"/>
        </w:rPr>
        <w:t>:  Summary of cost information provided by the Ap</w:t>
      </w:r>
      <w:r w:rsidR="00A80F39" w:rsidRPr="00D71312">
        <w:rPr>
          <w:b/>
          <w:lang w:bidi="ar-SA"/>
        </w:rPr>
        <w:t>plicant and submitters (A$)</w:t>
      </w:r>
    </w:p>
    <w:tbl>
      <w:tblPr>
        <w:tblStyle w:val="TableGrid"/>
        <w:tblW w:w="0" w:type="auto"/>
        <w:tblLayout w:type="fixed"/>
        <w:tblLook w:val="04A0" w:firstRow="1" w:lastRow="0" w:firstColumn="1" w:lastColumn="0" w:noHBand="0" w:noVBand="1"/>
      </w:tblPr>
      <w:tblGrid>
        <w:gridCol w:w="1951"/>
        <w:gridCol w:w="28"/>
        <w:gridCol w:w="2240"/>
        <w:gridCol w:w="1559"/>
        <w:gridCol w:w="1767"/>
        <w:gridCol w:w="1741"/>
      </w:tblGrid>
      <w:tr w:rsidR="00A66715" w:rsidTr="0052439D">
        <w:trPr>
          <w:tblHeader/>
        </w:trPr>
        <w:tc>
          <w:tcPr>
            <w:tcW w:w="1951" w:type="dxa"/>
            <w:vMerge w:val="restart"/>
            <w:shd w:val="clear" w:color="auto" w:fill="D6E3BC" w:themeFill="accent3" w:themeFillTint="66"/>
            <w:vAlign w:val="center"/>
          </w:tcPr>
          <w:p w:rsidR="00A66715" w:rsidRPr="005C04AD" w:rsidRDefault="00A66715" w:rsidP="009470D5">
            <w:pPr>
              <w:jc w:val="center"/>
              <w:rPr>
                <w:rFonts w:cs="Arial"/>
                <w:b/>
                <w:sz w:val="18"/>
                <w:szCs w:val="18"/>
                <w:lang w:bidi="ar-SA"/>
              </w:rPr>
            </w:pPr>
            <w:r w:rsidRPr="005C04AD">
              <w:rPr>
                <w:rFonts w:cs="Arial"/>
                <w:b/>
                <w:sz w:val="18"/>
                <w:szCs w:val="18"/>
                <w:lang w:bidi="ar-SA"/>
              </w:rPr>
              <w:t>Item</w:t>
            </w:r>
          </w:p>
        </w:tc>
        <w:tc>
          <w:tcPr>
            <w:tcW w:w="7335" w:type="dxa"/>
            <w:gridSpan w:val="5"/>
            <w:shd w:val="clear" w:color="auto" w:fill="D6E3BC" w:themeFill="accent3" w:themeFillTint="66"/>
          </w:tcPr>
          <w:p w:rsidR="00A66715" w:rsidRPr="00CD4C45" w:rsidRDefault="00A66715" w:rsidP="00A66715">
            <w:pPr>
              <w:jc w:val="center"/>
              <w:rPr>
                <w:rFonts w:cs="Arial"/>
                <w:b/>
                <w:sz w:val="18"/>
                <w:szCs w:val="18"/>
                <w:lang w:bidi="ar-SA"/>
              </w:rPr>
            </w:pPr>
            <w:r w:rsidRPr="00CD4C45">
              <w:rPr>
                <w:rFonts w:cs="Arial"/>
                <w:b/>
                <w:sz w:val="18"/>
                <w:szCs w:val="18"/>
                <w:lang w:bidi="ar-SA"/>
              </w:rPr>
              <w:t>Applicant/Submitter</w:t>
            </w:r>
          </w:p>
        </w:tc>
      </w:tr>
      <w:tr w:rsidR="004E41C6" w:rsidTr="0052439D">
        <w:trPr>
          <w:tblHeader/>
        </w:trPr>
        <w:tc>
          <w:tcPr>
            <w:tcW w:w="1951" w:type="dxa"/>
            <w:vMerge/>
            <w:shd w:val="clear" w:color="auto" w:fill="D6E3BC" w:themeFill="accent3" w:themeFillTint="66"/>
          </w:tcPr>
          <w:p w:rsidR="00A66715" w:rsidRPr="005C04AD" w:rsidRDefault="00A66715" w:rsidP="003D43F8">
            <w:pPr>
              <w:rPr>
                <w:rFonts w:cs="Arial"/>
                <w:b/>
                <w:sz w:val="18"/>
                <w:szCs w:val="18"/>
                <w:lang w:bidi="ar-SA"/>
              </w:rPr>
            </w:pPr>
          </w:p>
        </w:tc>
        <w:tc>
          <w:tcPr>
            <w:tcW w:w="2268" w:type="dxa"/>
            <w:gridSpan w:val="2"/>
            <w:shd w:val="clear" w:color="auto" w:fill="D6E3BC" w:themeFill="accent3" w:themeFillTint="66"/>
            <w:vAlign w:val="center"/>
          </w:tcPr>
          <w:p w:rsidR="00A66715" w:rsidRPr="00CD4C45" w:rsidRDefault="00A66715" w:rsidP="00343EFC">
            <w:pPr>
              <w:rPr>
                <w:rFonts w:cs="Arial"/>
                <w:b/>
                <w:sz w:val="18"/>
                <w:szCs w:val="18"/>
                <w:lang w:bidi="ar-SA"/>
              </w:rPr>
            </w:pPr>
            <w:r w:rsidRPr="00CD4C45">
              <w:rPr>
                <w:rFonts w:cs="Arial"/>
                <w:b/>
                <w:sz w:val="18"/>
                <w:szCs w:val="18"/>
                <w:lang w:bidi="ar-SA"/>
              </w:rPr>
              <w:t>Applicant (AFGC)</w:t>
            </w:r>
          </w:p>
        </w:tc>
        <w:tc>
          <w:tcPr>
            <w:tcW w:w="1559" w:type="dxa"/>
            <w:shd w:val="clear" w:color="auto" w:fill="D6E3BC" w:themeFill="accent3" w:themeFillTint="66"/>
            <w:vAlign w:val="center"/>
          </w:tcPr>
          <w:p w:rsidR="00A66715" w:rsidRPr="00CD4C45" w:rsidRDefault="00A66715" w:rsidP="00343EFC">
            <w:pPr>
              <w:rPr>
                <w:rFonts w:cs="Arial"/>
                <w:b/>
                <w:sz w:val="18"/>
                <w:szCs w:val="18"/>
                <w:lang w:bidi="ar-SA"/>
              </w:rPr>
            </w:pPr>
            <w:r w:rsidRPr="00CD4C45">
              <w:rPr>
                <w:rFonts w:cs="Arial"/>
                <w:b/>
                <w:sz w:val="18"/>
                <w:szCs w:val="18"/>
                <w:lang w:bidi="ar-SA"/>
              </w:rPr>
              <w:t>Grains &amp; Legumes Nutrition Council</w:t>
            </w:r>
          </w:p>
        </w:tc>
        <w:tc>
          <w:tcPr>
            <w:tcW w:w="1767" w:type="dxa"/>
            <w:shd w:val="clear" w:color="auto" w:fill="D6E3BC" w:themeFill="accent3" w:themeFillTint="66"/>
            <w:vAlign w:val="center"/>
          </w:tcPr>
          <w:p w:rsidR="00A66715" w:rsidRPr="00CD4C45" w:rsidRDefault="00A66715" w:rsidP="00343EFC">
            <w:pPr>
              <w:rPr>
                <w:rFonts w:cs="Arial"/>
                <w:b/>
                <w:sz w:val="18"/>
                <w:szCs w:val="18"/>
                <w:lang w:bidi="ar-SA"/>
              </w:rPr>
            </w:pPr>
            <w:r w:rsidRPr="00CD4C45">
              <w:rPr>
                <w:rFonts w:cs="Arial"/>
                <w:b/>
                <w:sz w:val="18"/>
                <w:szCs w:val="18"/>
                <w:lang w:bidi="ar-SA"/>
              </w:rPr>
              <w:t>Simplot Australia</w:t>
            </w:r>
          </w:p>
        </w:tc>
        <w:tc>
          <w:tcPr>
            <w:tcW w:w="1741" w:type="dxa"/>
            <w:shd w:val="clear" w:color="auto" w:fill="D6E3BC" w:themeFill="accent3" w:themeFillTint="66"/>
            <w:vAlign w:val="center"/>
          </w:tcPr>
          <w:p w:rsidR="00A66715" w:rsidRPr="00CD4C45" w:rsidRDefault="00A66715" w:rsidP="00343EFC">
            <w:pPr>
              <w:rPr>
                <w:rFonts w:cs="Arial"/>
                <w:b/>
                <w:sz w:val="18"/>
                <w:szCs w:val="18"/>
                <w:lang w:bidi="ar-SA"/>
              </w:rPr>
            </w:pPr>
            <w:r w:rsidRPr="00CD4C45">
              <w:rPr>
                <w:rFonts w:cs="Arial"/>
                <w:b/>
                <w:sz w:val="18"/>
                <w:szCs w:val="18"/>
                <w:lang w:bidi="ar-SA"/>
              </w:rPr>
              <w:t>Nestle Australia Ltd, Nestl</w:t>
            </w:r>
            <w:r w:rsidR="0008451B">
              <w:rPr>
                <w:rFonts w:cs="Arial"/>
                <w:b/>
                <w:sz w:val="18"/>
                <w:szCs w:val="18"/>
                <w:lang w:bidi="ar-SA"/>
              </w:rPr>
              <w:t>é</w:t>
            </w:r>
            <w:r w:rsidRPr="00CD4C45">
              <w:rPr>
                <w:rFonts w:cs="Arial"/>
                <w:b/>
                <w:sz w:val="18"/>
                <w:szCs w:val="18"/>
                <w:lang w:bidi="ar-SA"/>
              </w:rPr>
              <w:t xml:space="preserve"> New Zealand Ltd, Cereal Partners Worldwide</w:t>
            </w:r>
          </w:p>
        </w:tc>
      </w:tr>
      <w:tr w:rsidR="00F72F99" w:rsidTr="00416C69">
        <w:trPr>
          <w:trHeight w:val="1168"/>
        </w:trPr>
        <w:tc>
          <w:tcPr>
            <w:tcW w:w="1951" w:type="dxa"/>
          </w:tcPr>
          <w:p w:rsidR="000263D8" w:rsidRPr="005C04AD" w:rsidRDefault="000263D8" w:rsidP="007437F9">
            <w:pPr>
              <w:rPr>
                <w:rFonts w:cs="Arial"/>
                <w:b/>
                <w:sz w:val="18"/>
                <w:szCs w:val="18"/>
                <w:lang w:bidi="ar-SA"/>
              </w:rPr>
            </w:pPr>
            <w:r w:rsidRPr="005C04AD">
              <w:rPr>
                <w:rFonts w:cs="Arial"/>
                <w:b/>
                <w:sz w:val="18"/>
                <w:szCs w:val="18"/>
                <w:lang w:bidi="ar-SA"/>
              </w:rPr>
              <w:t>Total number of products/SKUs carrying nutrition content claims about dietary fibre</w:t>
            </w:r>
          </w:p>
        </w:tc>
        <w:tc>
          <w:tcPr>
            <w:tcW w:w="2268" w:type="dxa"/>
            <w:gridSpan w:val="2"/>
          </w:tcPr>
          <w:p w:rsidR="000263D8" w:rsidRDefault="00A66715" w:rsidP="007437F9">
            <w:pPr>
              <w:rPr>
                <w:rFonts w:cs="Arial"/>
                <w:sz w:val="18"/>
                <w:szCs w:val="18"/>
                <w:lang w:bidi="ar-SA"/>
              </w:rPr>
            </w:pPr>
            <w:r w:rsidRPr="00CD4C45">
              <w:rPr>
                <w:rFonts w:cs="Arial"/>
                <w:sz w:val="18"/>
                <w:szCs w:val="18"/>
                <w:lang w:bidi="ar-SA"/>
              </w:rPr>
              <w:t>589</w:t>
            </w:r>
            <w:r w:rsidR="00301E49">
              <w:rPr>
                <w:rFonts w:cs="Arial"/>
                <w:sz w:val="18"/>
                <w:szCs w:val="18"/>
                <w:lang w:bidi="ar-SA"/>
              </w:rPr>
              <w:t xml:space="preserve"> products</w:t>
            </w:r>
            <w:r w:rsidR="005401C8">
              <w:rPr>
                <w:rFonts w:cs="Arial"/>
                <w:sz w:val="18"/>
                <w:szCs w:val="18"/>
                <w:vertAlign w:val="superscript"/>
                <w:lang w:bidi="ar-SA"/>
              </w:rPr>
              <w:t>1</w:t>
            </w:r>
          </w:p>
          <w:p w:rsidR="005401C8" w:rsidRPr="00CD4C45" w:rsidRDefault="005401C8" w:rsidP="007437F9">
            <w:pPr>
              <w:rPr>
                <w:rFonts w:cs="Arial"/>
                <w:sz w:val="18"/>
                <w:szCs w:val="18"/>
                <w:lang w:bidi="ar-SA"/>
              </w:rPr>
            </w:pPr>
          </w:p>
        </w:tc>
        <w:tc>
          <w:tcPr>
            <w:tcW w:w="1559" w:type="dxa"/>
          </w:tcPr>
          <w:p w:rsidR="000263D8" w:rsidRPr="00CD4C45" w:rsidRDefault="00A828E0" w:rsidP="007437F9">
            <w:pPr>
              <w:rPr>
                <w:rFonts w:cs="Arial"/>
                <w:sz w:val="18"/>
                <w:szCs w:val="18"/>
                <w:lang w:bidi="ar-SA"/>
              </w:rPr>
            </w:pPr>
            <w:r w:rsidRPr="00CD4C45">
              <w:rPr>
                <w:rFonts w:cs="Arial"/>
                <w:sz w:val="18"/>
                <w:szCs w:val="18"/>
                <w:lang w:bidi="ar-SA"/>
              </w:rPr>
              <w:t>402</w:t>
            </w:r>
            <w:r w:rsidR="00DB5640" w:rsidRPr="00CD4C45">
              <w:rPr>
                <w:rFonts w:cs="Arial"/>
                <w:sz w:val="18"/>
                <w:szCs w:val="18"/>
                <w:lang w:bidi="ar-SA"/>
              </w:rPr>
              <w:t xml:space="preserve"> products</w:t>
            </w:r>
          </w:p>
        </w:tc>
        <w:tc>
          <w:tcPr>
            <w:tcW w:w="1767" w:type="dxa"/>
          </w:tcPr>
          <w:p w:rsidR="000263D8" w:rsidRPr="00CD4C45" w:rsidRDefault="00DB5640" w:rsidP="007437F9">
            <w:pPr>
              <w:rPr>
                <w:rFonts w:cs="Arial"/>
                <w:sz w:val="18"/>
                <w:szCs w:val="18"/>
                <w:lang w:bidi="ar-SA"/>
              </w:rPr>
            </w:pPr>
            <w:r w:rsidRPr="00CD4C45">
              <w:rPr>
                <w:rFonts w:cs="Arial"/>
                <w:sz w:val="18"/>
                <w:szCs w:val="18"/>
                <w:lang w:bidi="ar-SA"/>
              </w:rPr>
              <w:t>111 SKUs</w:t>
            </w:r>
          </w:p>
        </w:tc>
        <w:tc>
          <w:tcPr>
            <w:tcW w:w="1741" w:type="dxa"/>
          </w:tcPr>
          <w:p w:rsidR="000263D8" w:rsidRPr="00CD4C45" w:rsidRDefault="004E41C6" w:rsidP="007437F9">
            <w:pPr>
              <w:rPr>
                <w:rFonts w:cs="Arial"/>
                <w:sz w:val="18"/>
                <w:szCs w:val="18"/>
                <w:lang w:bidi="ar-SA"/>
              </w:rPr>
            </w:pPr>
            <w:r w:rsidRPr="00CD4C45">
              <w:rPr>
                <w:rFonts w:cs="Arial"/>
                <w:sz w:val="18"/>
                <w:szCs w:val="18"/>
                <w:lang w:bidi="ar-SA"/>
              </w:rPr>
              <w:t>90 products (162 SKUs)</w:t>
            </w:r>
          </w:p>
        </w:tc>
      </w:tr>
      <w:tr w:rsidR="00F72F99" w:rsidTr="00416C69">
        <w:tc>
          <w:tcPr>
            <w:tcW w:w="1951" w:type="dxa"/>
          </w:tcPr>
          <w:p w:rsidR="000263D8" w:rsidRPr="005C04AD" w:rsidRDefault="000263D8" w:rsidP="007437F9">
            <w:pPr>
              <w:rPr>
                <w:rFonts w:cs="Arial"/>
                <w:b/>
                <w:sz w:val="18"/>
                <w:szCs w:val="18"/>
                <w:lang w:bidi="ar-SA"/>
              </w:rPr>
            </w:pPr>
            <w:r w:rsidRPr="005C04AD">
              <w:rPr>
                <w:rFonts w:cs="Arial"/>
                <w:b/>
                <w:sz w:val="18"/>
                <w:szCs w:val="18"/>
                <w:lang w:bidi="ar-SA"/>
              </w:rPr>
              <w:t xml:space="preserve">Total number of products/SKUs that do </w:t>
            </w:r>
            <w:r w:rsidR="005C04AD" w:rsidRPr="005C04AD">
              <w:rPr>
                <w:rFonts w:cs="Arial"/>
                <w:b/>
                <w:sz w:val="18"/>
                <w:szCs w:val="18"/>
                <w:lang w:bidi="ar-SA"/>
              </w:rPr>
              <w:t xml:space="preserve">not </w:t>
            </w:r>
            <w:r w:rsidRPr="005C04AD">
              <w:rPr>
                <w:rFonts w:cs="Arial"/>
                <w:b/>
                <w:sz w:val="18"/>
                <w:szCs w:val="18"/>
                <w:lang w:bidi="ar-SA"/>
              </w:rPr>
              <w:t xml:space="preserve">meet the </w:t>
            </w:r>
            <w:r w:rsidR="007437F9">
              <w:rPr>
                <w:rFonts w:cs="Arial"/>
                <w:b/>
                <w:sz w:val="18"/>
                <w:szCs w:val="18"/>
                <w:lang w:bidi="ar-SA"/>
              </w:rPr>
              <w:t>qualifying criteria</w:t>
            </w:r>
            <w:r w:rsidRPr="005C04AD">
              <w:rPr>
                <w:rFonts w:cs="Arial"/>
                <w:b/>
                <w:sz w:val="18"/>
                <w:szCs w:val="18"/>
                <w:lang w:bidi="ar-SA"/>
              </w:rPr>
              <w:t xml:space="preserve"> in Standard 1.2.7 </w:t>
            </w:r>
          </w:p>
        </w:tc>
        <w:tc>
          <w:tcPr>
            <w:tcW w:w="2268" w:type="dxa"/>
            <w:gridSpan w:val="2"/>
          </w:tcPr>
          <w:p w:rsidR="000263D8" w:rsidRPr="00CD4C45" w:rsidRDefault="00A66715" w:rsidP="007437F9">
            <w:pPr>
              <w:rPr>
                <w:rFonts w:cs="Arial"/>
                <w:sz w:val="18"/>
                <w:szCs w:val="18"/>
                <w:lang w:bidi="ar-SA"/>
              </w:rPr>
            </w:pPr>
            <w:r w:rsidRPr="00CD4C45">
              <w:rPr>
                <w:rFonts w:cs="Arial"/>
                <w:sz w:val="18"/>
                <w:szCs w:val="18"/>
                <w:lang w:bidi="ar-SA"/>
              </w:rPr>
              <w:t>116</w:t>
            </w:r>
            <w:r w:rsidR="00301E49">
              <w:rPr>
                <w:rFonts w:cs="Arial"/>
                <w:sz w:val="18"/>
                <w:szCs w:val="18"/>
                <w:lang w:bidi="ar-SA"/>
              </w:rPr>
              <w:t xml:space="preserve"> products</w:t>
            </w:r>
            <w:r w:rsidR="005401C8">
              <w:rPr>
                <w:rFonts w:cs="Arial"/>
                <w:sz w:val="18"/>
                <w:szCs w:val="18"/>
                <w:vertAlign w:val="superscript"/>
                <w:lang w:bidi="ar-SA"/>
              </w:rPr>
              <w:t>1</w:t>
            </w:r>
          </w:p>
        </w:tc>
        <w:tc>
          <w:tcPr>
            <w:tcW w:w="1559" w:type="dxa"/>
          </w:tcPr>
          <w:p w:rsidR="000263D8" w:rsidRPr="00CD4C45" w:rsidRDefault="00A828E0" w:rsidP="007437F9">
            <w:pPr>
              <w:rPr>
                <w:rFonts w:cs="Arial"/>
                <w:sz w:val="18"/>
                <w:szCs w:val="18"/>
                <w:lang w:bidi="ar-SA"/>
              </w:rPr>
            </w:pPr>
            <w:r w:rsidRPr="00CD4C45">
              <w:rPr>
                <w:rFonts w:cs="Arial"/>
                <w:sz w:val="18"/>
                <w:szCs w:val="18"/>
                <w:lang w:bidi="ar-SA"/>
              </w:rPr>
              <w:t>84</w:t>
            </w:r>
            <w:r w:rsidR="00DB5640" w:rsidRPr="00CD4C45">
              <w:rPr>
                <w:rFonts w:cs="Arial"/>
                <w:sz w:val="18"/>
                <w:szCs w:val="18"/>
                <w:lang w:bidi="ar-SA"/>
              </w:rPr>
              <w:t xml:space="preserve"> products (breakfast cereals, breads, rice, noodles, crispbreads)</w:t>
            </w:r>
          </w:p>
        </w:tc>
        <w:tc>
          <w:tcPr>
            <w:tcW w:w="1767" w:type="dxa"/>
          </w:tcPr>
          <w:p w:rsidR="000263D8" w:rsidRPr="00CD4C45" w:rsidRDefault="00DB5640" w:rsidP="007437F9">
            <w:pPr>
              <w:rPr>
                <w:rFonts w:cs="Arial"/>
                <w:sz w:val="18"/>
                <w:szCs w:val="18"/>
                <w:lang w:bidi="ar-SA"/>
              </w:rPr>
            </w:pPr>
            <w:r w:rsidRPr="00CD4C45">
              <w:rPr>
                <w:rFonts w:cs="Arial"/>
                <w:sz w:val="18"/>
                <w:szCs w:val="18"/>
                <w:lang w:bidi="ar-SA"/>
              </w:rPr>
              <w:t>18 SKUs (frozen and canned vegetables)</w:t>
            </w:r>
          </w:p>
        </w:tc>
        <w:tc>
          <w:tcPr>
            <w:tcW w:w="1741" w:type="dxa"/>
          </w:tcPr>
          <w:p w:rsidR="000263D8" w:rsidRPr="00CD4C45" w:rsidRDefault="004E41C6" w:rsidP="007437F9">
            <w:pPr>
              <w:rPr>
                <w:rFonts w:cs="Arial"/>
                <w:sz w:val="18"/>
                <w:szCs w:val="18"/>
                <w:lang w:bidi="ar-SA"/>
              </w:rPr>
            </w:pPr>
            <w:r w:rsidRPr="00CD4C45">
              <w:rPr>
                <w:rFonts w:cs="Arial"/>
                <w:sz w:val="18"/>
                <w:szCs w:val="18"/>
                <w:lang w:bidi="ar-SA"/>
              </w:rPr>
              <w:t>25 products (25 SKUs) (breakfast cereals, snack bars)</w:t>
            </w:r>
          </w:p>
        </w:tc>
      </w:tr>
      <w:tr w:rsidR="00F72F99" w:rsidTr="00416C69">
        <w:tc>
          <w:tcPr>
            <w:tcW w:w="1951" w:type="dxa"/>
          </w:tcPr>
          <w:p w:rsidR="000263D8" w:rsidRPr="005C04AD" w:rsidRDefault="000263D8" w:rsidP="007437F9">
            <w:pPr>
              <w:rPr>
                <w:rFonts w:cs="Arial"/>
                <w:b/>
                <w:sz w:val="18"/>
                <w:szCs w:val="18"/>
                <w:lang w:bidi="ar-SA"/>
              </w:rPr>
            </w:pPr>
            <w:r w:rsidRPr="005C04AD">
              <w:rPr>
                <w:rFonts w:cs="Arial"/>
                <w:b/>
                <w:sz w:val="18"/>
                <w:szCs w:val="18"/>
                <w:lang w:bidi="ar-SA"/>
              </w:rPr>
              <w:t>Cost of labelling changes made before October 2014</w:t>
            </w:r>
          </w:p>
        </w:tc>
        <w:tc>
          <w:tcPr>
            <w:tcW w:w="2268" w:type="dxa"/>
            <w:gridSpan w:val="2"/>
          </w:tcPr>
          <w:p w:rsidR="000263D8" w:rsidRPr="00CD4C45" w:rsidRDefault="00CF0B9D" w:rsidP="007437F9">
            <w:pPr>
              <w:rPr>
                <w:rFonts w:cs="Arial"/>
                <w:sz w:val="18"/>
                <w:szCs w:val="18"/>
                <w:lang w:bidi="ar-SA"/>
              </w:rPr>
            </w:pPr>
            <w:r>
              <w:rPr>
                <w:rFonts w:cs="Arial"/>
                <w:sz w:val="18"/>
                <w:szCs w:val="18"/>
                <w:lang w:bidi="ar-SA"/>
              </w:rPr>
              <w:t>No information provided</w:t>
            </w:r>
          </w:p>
        </w:tc>
        <w:tc>
          <w:tcPr>
            <w:tcW w:w="1559" w:type="dxa"/>
          </w:tcPr>
          <w:p w:rsidR="000263D8" w:rsidRPr="00CD4C45" w:rsidRDefault="00A828E0" w:rsidP="007437F9">
            <w:pPr>
              <w:rPr>
                <w:rFonts w:cs="Arial"/>
                <w:sz w:val="18"/>
                <w:szCs w:val="18"/>
                <w:lang w:bidi="ar-SA"/>
              </w:rPr>
            </w:pPr>
            <w:r w:rsidRPr="00CD4C45">
              <w:rPr>
                <w:rFonts w:cs="Arial"/>
                <w:sz w:val="18"/>
                <w:szCs w:val="18"/>
                <w:lang w:bidi="ar-SA"/>
              </w:rPr>
              <w:t>Estimate of at least $400,000</w:t>
            </w:r>
          </w:p>
        </w:tc>
        <w:tc>
          <w:tcPr>
            <w:tcW w:w="1767" w:type="dxa"/>
          </w:tcPr>
          <w:p w:rsidR="000263D8" w:rsidRPr="00CD4C45" w:rsidRDefault="005C04AD" w:rsidP="007437F9">
            <w:pPr>
              <w:rPr>
                <w:rFonts w:cs="Arial"/>
                <w:sz w:val="18"/>
                <w:szCs w:val="18"/>
                <w:lang w:bidi="ar-SA"/>
              </w:rPr>
            </w:pPr>
            <w:r>
              <w:rPr>
                <w:rFonts w:cs="Arial"/>
                <w:sz w:val="18"/>
                <w:szCs w:val="18"/>
                <w:lang w:bidi="ar-SA"/>
              </w:rPr>
              <w:t xml:space="preserve">Changes for </w:t>
            </w:r>
            <w:r w:rsidR="00DB5640" w:rsidRPr="00CD4C45">
              <w:rPr>
                <w:rFonts w:cs="Arial"/>
                <w:sz w:val="18"/>
                <w:szCs w:val="18"/>
                <w:lang w:bidi="ar-SA"/>
              </w:rPr>
              <w:t>6 SKUs combined with other labelling changes</w:t>
            </w:r>
          </w:p>
        </w:tc>
        <w:tc>
          <w:tcPr>
            <w:tcW w:w="1741" w:type="dxa"/>
          </w:tcPr>
          <w:p w:rsidR="004E41C6" w:rsidRPr="00CD4C45" w:rsidRDefault="004E41C6" w:rsidP="007437F9">
            <w:pPr>
              <w:rPr>
                <w:rFonts w:cs="Arial"/>
                <w:sz w:val="18"/>
                <w:szCs w:val="18"/>
                <w:lang w:bidi="ar-SA"/>
              </w:rPr>
            </w:pPr>
            <w:r w:rsidRPr="00CD4C45">
              <w:rPr>
                <w:rFonts w:cs="Arial"/>
                <w:sz w:val="18"/>
                <w:szCs w:val="18"/>
                <w:lang w:bidi="ar-SA"/>
              </w:rPr>
              <w:t>$70,000</w:t>
            </w:r>
          </w:p>
          <w:p w:rsidR="000263D8" w:rsidRPr="00CD4C45" w:rsidRDefault="005C04AD" w:rsidP="007437F9">
            <w:pPr>
              <w:rPr>
                <w:rFonts w:cs="Arial"/>
                <w:sz w:val="18"/>
                <w:szCs w:val="18"/>
                <w:lang w:bidi="ar-SA"/>
              </w:rPr>
            </w:pPr>
            <w:r>
              <w:rPr>
                <w:rFonts w:cs="Arial"/>
                <w:sz w:val="18"/>
                <w:szCs w:val="18"/>
                <w:lang w:bidi="ar-SA"/>
              </w:rPr>
              <w:t>for</w:t>
            </w:r>
            <w:r w:rsidR="004E41C6" w:rsidRPr="00CD4C45">
              <w:rPr>
                <w:rFonts w:cs="Arial"/>
                <w:sz w:val="18"/>
                <w:szCs w:val="18"/>
                <w:lang w:bidi="ar-SA"/>
              </w:rPr>
              <w:t xml:space="preserve"> 17 SKUs (</w:t>
            </w:r>
            <w:r>
              <w:rPr>
                <w:rFonts w:cs="Arial"/>
                <w:sz w:val="18"/>
                <w:szCs w:val="18"/>
                <w:lang w:bidi="ar-SA"/>
              </w:rPr>
              <w:t>partly combined with other</w:t>
            </w:r>
            <w:r w:rsidR="004E41C6" w:rsidRPr="00CD4C45">
              <w:rPr>
                <w:rFonts w:cs="Arial"/>
                <w:sz w:val="18"/>
                <w:szCs w:val="18"/>
                <w:lang w:bidi="ar-SA"/>
              </w:rPr>
              <w:t xml:space="preserve"> changes)</w:t>
            </w:r>
          </w:p>
        </w:tc>
      </w:tr>
      <w:tr w:rsidR="00F72F99" w:rsidTr="00416C69">
        <w:tc>
          <w:tcPr>
            <w:tcW w:w="1951" w:type="dxa"/>
          </w:tcPr>
          <w:p w:rsidR="000263D8" w:rsidRPr="005C04AD" w:rsidRDefault="000263D8" w:rsidP="007437F9">
            <w:pPr>
              <w:rPr>
                <w:rFonts w:cs="Arial"/>
                <w:b/>
                <w:sz w:val="18"/>
                <w:szCs w:val="18"/>
                <w:lang w:bidi="ar-SA"/>
              </w:rPr>
            </w:pPr>
            <w:r w:rsidRPr="005C04AD">
              <w:rPr>
                <w:rFonts w:cs="Arial"/>
                <w:b/>
                <w:sz w:val="18"/>
                <w:szCs w:val="18"/>
                <w:lang w:bidi="ar-SA"/>
              </w:rPr>
              <w:t>Cost of product reformulation before October 2014</w:t>
            </w:r>
          </w:p>
        </w:tc>
        <w:tc>
          <w:tcPr>
            <w:tcW w:w="2268" w:type="dxa"/>
            <w:gridSpan w:val="2"/>
          </w:tcPr>
          <w:p w:rsidR="000263D8" w:rsidRDefault="00844E9C" w:rsidP="007437F9">
            <w:pPr>
              <w:rPr>
                <w:rFonts w:cs="Arial"/>
                <w:sz w:val="18"/>
                <w:szCs w:val="18"/>
                <w:lang w:bidi="ar-SA"/>
              </w:rPr>
            </w:pPr>
            <w:r w:rsidRPr="00CD4C45">
              <w:rPr>
                <w:rFonts w:cs="Arial"/>
                <w:sz w:val="18"/>
                <w:szCs w:val="18"/>
                <w:lang w:bidi="ar-SA"/>
              </w:rPr>
              <w:t>Partial cost of $67,515 up to August 2013</w:t>
            </w:r>
          </w:p>
          <w:p w:rsidR="00CD59C4" w:rsidRPr="00CD4C45" w:rsidRDefault="00CD59C4" w:rsidP="007437F9">
            <w:pPr>
              <w:rPr>
                <w:rFonts w:cs="Arial"/>
                <w:sz w:val="18"/>
                <w:szCs w:val="18"/>
                <w:lang w:bidi="ar-SA"/>
              </w:rPr>
            </w:pPr>
            <w:r>
              <w:rPr>
                <w:rFonts w:cs="Arial"/>
                <w:sz w:val="18"/>
                <w:szCs w:val="18"/>
                <w:lang w:bidi="ar-SA"/>
              </w:rPr>
              <w:t>(one food business)</w:t>
            </w:r>
          </w:p>
        </w:tc>
        <w:tc>
          <w:tcPr>
            <w:tcW w:w="1559" w:type="dxa"/>
          </w:tcPr>
          <w:p w:rsidR="000263D8" w:rsidRPr="00CD4C45" w:rsidRDefault="00AC3F1A" w:rsidP="007437F9">
            <w:pPr>
              <w:rPr>
                <w:rFonts w:cs="Arial"/>
                <w:sz w:val="18"/>
                <w:szCs w:val="18"/>
                <w:lang w:bidi="ar-SA"/>
              </w:rPr>
            </w:pPr>
            <w:r w:rsidRPr="00CD4C45">
              <w:rPr>
                <w:rFonts w:cs="Arial"/>
                <w:sz w:val="18"/>
                <w:szCs w:val="18"/>
                <w:lang w:bidi="ar-SA"/>
              </w:rPr>
              <w:t>Estimate of at least $1.7 million</w:t>
            </w:r>
            <w:r w:rsidR="00416C69">
              <w:rPr>
                <w:rFonts w:cs="Arial"/>
                <w:sz w:val="18"/>
                <w:szCs w:val="18"/>
                <w:lang w:bidi="ar-SA"/>
              </w:rPr>
              <w:t xml:space="preserve"> (includes Nestle)</w:t>
            </w:r>
          </w:p>
        </w:tc>
        <w:tc>
          <w:tcPr>
            <w:tcW w:w="1767" w:type="dxa"/>
          </w:tcPr>
          <w:p w:rsidR="000263D8" w:rsidRPr="00CD4C45" w:rsidRDefault="00DB5640" w:rsidP="007437F9">
            <w:pPr>
              <w:rPr>
                <w:rFonts w:cs="Arial"/>
                <w:sz w:val="18"/>
                <w:szCs w:val="18"/>
                <w:lang w:bidi="ar-SA"/>
              </w:rPr>
            </w:pPr>
            <w:r w:rsidRPr="00CD4C45">
              <w:rPr>
                <w:rFonts w:cs="Arial"/>
                <w:sz w:val="18"/>
                <w:szCs w:val="18"/>
                <w:lang w:bidi="ar-SA"/>
              </w:rPr>
              <w:t>Nil products reformulated</w:t>
            </w:r>
          </w:p>
        </w:tc>
        <w:tc>
          <w:tcPr>
            <w:tcW w:w="1741" w:type="dxa"/>
          </w:tcPr>
          <w:p w:rsidR="000263D8" w:rsidRPr="00CD4C45" w:rsidRDefault="004E41C6" w:rsidP="007437F9">
            <w:pPr>
              <w:rPr>
                <w:rFonts w:cs="Arial"/>
                <w:sz w:val="18"/>
                <w:szCs w:val="18"/>
                <w:lang w:bidi="ar-SA"/>
              </w:rPr>
            </w:pPr>
            <w:r w:rsidRPr="00CD4C45">
              <w:rPr>
                <w:rFonts w:cs="Arial"/>
                <w:sz w:val="18"/>
                <w:szCs w:val="18"/>
                <w:lang w:bidi="ar-SA"/>
              </w:rPr>
              <w:t>Partial cost of $50,000 for reformulating 12 products</w:t>
            </w:r>
          </w:p>
        </w:tc>
      </w:tr>
      <w:tr w:rsidR="00362718" w:rsidTr="00343EFC">
        <w:trPr>
          <w:trHeight w:val="319"/>
        </w:trPr>
        <w:tc>
          <w:tcPr>
            <w:tcW w:w="9286" w:type="dxa"/>
            <w:gridSpan w:val="6"/>
            <w:vAlign w:val="center"/>
          </w:tcPr>
          <w:p w:rsidR="00362718" w:rsidRPr="00CD4C45" w:rsidRDefault="00362718" w:rsidP="003D43F8">
            <w:pPr>
              <w:rPr>
                <w:rFonts w:cs="Arial"/>
                <w:sz w:val="18"/>
                <w:szCs w:val="18"/>
                <w:lang w:bidi="ar-SA"/>
              </w:rPr>
            </w:pPr>
            <w:r>
              <w:rPr>
                <w:rFonts w:cs="Arial"/>
                <w:b/>
                <w:sz w:val="18"/>
                <w:szCs w:val="18"/>
                <w:u w:val="single"/>
                <w:lang w:bidi="ar-SA"/>
              </w:rPr>
              <w:t>Direct cost of la</w:t>
            </w:r>
            <w:r w:rsidRPr="005C04AD">
              <w:rPr>
                <w:rFonts w:cs="Arial"/>
                <w:b/>
                <w:sz w:val="18"/>
                <w:szCs w:val="18"/>
                <w:u w:val="single"/>
                <w:lang w:bidi="ar-SA"/>
              </w:rPr>
              <w:t>belling changes:</w:t>
            </w:r>
          </w:p>
        </w:tc>
      </w:tr>
      <w:tr w:rsidR="00F72F99" w:rsidTr="00416C69">
        <w:tc>
          <w:tcPr>
            <w:tcW w:w="1951" w:type="dxa"/>
          </w:tcPr>
          <w:p w:rsidR="000263D8" w:rsidRPr="007437F9" w:rsidRDefault="00A66715" w:rsidP="007437F9">
            <w:pPr>
              <w:rPr>
                <w:rFonts w:cs="Arial"/>
                <w:b/>
                <w:sz w:val="18"/>
                <w:szCs w:val="18"/>
                <w:lang w:bidi="ar-SA"/>
              </w:rPr>
            </w:pPr>
            <w:r w:rsidRPr="007437F9">
              <w:rPr>
                <w:rFonts w:cs="Arial"/>
                <w:b/>
                <w:sz w:val="18"/>
                <w:szCs w:val="18"/>
                <w:lang w:bidi="ar-SA"/>
              </w:rPr>
              <w:t>Transition period ending 18 January 2016</w:t>
            </w:r>
          </w:p>
        </w:tc>
        <w:tc>
          <w:tcPr>
            <w:tcW w:w="2268" w:type="dxa"/>
            <w:gridSpan w:val="2"/>
          </w:tcPr>
          <w:p w:rsidR="000263D8" w:rsidRPr="00CD4C45" w:rsidRDefault="00844E9C" w:rsidP="007437F9">
            <w:pPr>
              <w:rPr>
                <w:rFonts w:cs="Arial"/>
                <w:sz w:val="18"/>
                <w:szCs w:val="18"/>
                <w:lang w:bidi="ar-SA"/>
              </w:rPr>
            </w:pPr>
            <w:r w:rsidRPr="00CD4C45">
              <w:rPr>
                <w:rFonts w:cs="Arial"/>
                <w:sz w:val="18"/>
                <w:szCs w:val="18"/>
                <w:lang w:bidi="ar-SA"/>
              </w:rPr>
              <w:t>Up to $2.5 million (worst case scenario)</w:t>
            </w:r>
            <w:r w:rsidR="00CD59C4">
              <w:rPr>
                <w:rFonts w:cs="Arial"/>
                <w:sz w:val="18"/>
                <w:szCs w:val="18"/>
                <w:lang w:bidi="ar-SA"/>
              </w:rPr>
              <w:t xml:space="preserve"> ($15,000 - $25,000 per product</w:t>
            </w:r>
            <w:r w:rsidR="007437F9">
              <w:rPr>
                <w:rFonts w:cs="Arial"/>
                <w:sz w:val="18"/>
                <w:szCs w:val="18"/>
                <w:lang w:bidi="ar-SA"/>
              </w:rPr>
              <w:t xml:space="preserve"> with shorter shelf life</w:t>
            </w:r>
            <w:r w:rsidR="00CD59C4">
              <w:rPr>
                <w:rFonts w:cs="Arial"/>
                <w:sz w:val="18"/>
                <w:szCs w:val="18"/>
                <w:lang w:bidi="ar-SA"/>
              </w:rPr>
              <w:t>)</w:t>
            </w:r>
          </w:p>
        </w:tc>
        <w:tc>
          <w:tcPr>
            <w:tcW w:w="1559" w:type="dxa"/>
          </w:tcPr>
          <w:p w:rsidR="000263D8" w:rsidRPr="00CD4C45" w:rsidRDefault="005C04AD" w:rsidP="007437F9">
            <w:pPr>
              <w:rPr>
                <w:rFonts w:cs="Arial"/>
                <w:sz w:val="18"/>
                <w:szCs w:val="18"/>
                <w:lang w:bidi="ar-SA"/>
              </w:rPr>
            </w:pPr>
            <w:r>
              <w:rPr>
                <w:rFonts w:cs="Arial"/>
                <w:sz w:val="18"/>
                <w:szCs w:val="18"/>
                <w:lang w:bidi="ar-SA"/>
              </w:rPr>
              <w:t>NA</w:t>
            </w:r>
          </w:p>
        </w:tc>
        <w:tc>
          <w:tcPr>
            <w:tcW w:w="1767" w:type="dxa"/>
          </w:tcPr>
          <w:p w:rsidR="000263D8" w:rsidRPr="00CD4C45" w:rsidRDefault="00DB5640" w:rsidP="007437F9">
            <w:pPr>
              <w:rPr>
                <w:rFonts w:cs="Arial"/>
                <w:sz w:val="18"/>
                <w:szCs w:val="18"/>
                <w:lang w:bidi="ar-SA"/>
              </w:rPr>
            </w:pPr>
            <w:r w:rsidRPr="00CD4C45">
              <w:rPr>
                <w:rFonts w:cs="Arial"/>
                <w:sz w:val="18"/>
                <w:szCs w:val="18"/>
                <w:lang w:bidi="ar-SA"/>
              </w:rPr>
              <w:t>$66,000 for 18 SKUs, but changes ma</w:t>
            </w:r>
            <w:r w:rsidR="005D5A00" w:rsidRPr="00CD4C45">
              <w:rPr>
                <w:rFonts w:cs="Arial"/>
                <w:sz w:val="18"/>
                <w:szCs w:val="18"/>
                <w:lang w:bidi="ar-SA"/>
              </w:rPr>
              <w:t>y be combi</w:t>
            </w:r>
            <w:r w:rsidRPr="00CD4C45">
              <w:rPr>
                <w:rFonts w:cs="Arial"/>
                <w:sz w:val="18"/>
                <w:szCs w:val="18"/>
                <w:lang w:bidi="ar-SA"/>
              </w:rPr>
              <w:t>ned</w:t>
            </w:r>
            <w:r w:rsidR="005D5A00" w:rsidRPr="00CD4C45">
              <w:rPr>
                <w:rFonts w:cs="Arial"/>
                <w:sz w:val="18"/>
                <w:szCs w:val="18"/>
                <w:lang w:bidi="ar-SA"/>
              </w:rPr>
              <w:t xml:space="preserve"> with other changes for 12 products, thereby costs avoided.</w:t>
            </w:r>
          </w:p>
        </w:tc>
        <w:tc>
          <w:tcPr>
            <w:tcW w:w="1741" w:type="dxa"/>
          </w:tcPr>
          <w:p w:rsidR="000263D8" w:rsidRPr="00CD4C45" w:rsidRDefault="004E41C6" w:rsidP="007437F9">
            <w:pPr>
              <w:rPr>
                <w:rFonts w:cs="Arial"/>
                <w:sz w:val="18"/>
                <w:szCs w:val="18"/>
                <w:lang w:bidi="ar-SA"/>
              </w:rPr>
            </w:pPr>
            <w:r w:rsidRPr="00CD4C45">
              <w:rPr>
                <w:rFonts w:cs="Arial"/>
                <w:sz w:val="18"/>
                <w:szCs w:val="18"/>
                <w:lang w:bidi="ar-SA"/>
              </w:rPr>
              <w:t>$185,000 for 18 SKUs</w:t>
            </w:r>
          </w:p>
          <w:p w:rsidR="004E41C6" w:rsidRPr="00CD4C45" w:rsidRDefault="004E41C6" w:rsidP="007437F9">
            <w:pPr>
              <w:rPr>
                <w:rFonts w:cs="Arial"/>
                <w:sz w:val="18"/>
                <w:szCs w:val="18"/>
                <w:lang w:bidi="ar-SA"/>
              </w:rPr>
            </w:pPr>
          </w:p>
        </w:tc>
      </w:tr>
      <w:tr w:rsidR="00F72F99" w:rsidTr="00416C69">
        <w:tc>
          <w:tcPr>
            <w:tcW w:w="1951" w:type="dxa"/>
          </w:tcPr>
          <w:p w:rsidR="000263D8" w:rsidRPr="007437F9" w:rsidRDefault="00A66715" w:rsidP="007437F9">
            <w:pPr>
              <w:rPr>
                <w:rFonts w:cs="Arial"/>
                <w:b/>
                <w:sz w:val="18"/>
                <w:szCs w:val="18"/>
                <w:lang w:bidi="ar-SA"/>
              </w:rPr>
            </w:pPr>
            <w:r w:rsidRPr="007437F9">
              <w:rPr>
                <w:rFonts w:cs="Arial"/>
                <w:b/>
                <w:sz w:val="18"/>
                <w:szCs w:val="18"/>
                <w:lang w:bidi="ar-SA"/>
              </w:rPr>
              <w:t>Transition period ending 18 January 2017</w:t>
            </w:r>
          </w:p>
        </w:tc>
        <w:tc>
          <w:tcPr>
            <w:tcW w:w="2268" w:type="dxa"/>
            <w:gridSpan w:val="2"/>
          </w:tcPr>
          <w:p w:rsidR="000263D8" w:rsidRPr="00CD4C45" w:rsidRDefault="00D0613C" w:rsidP="007437F9">
            <w:pPr>
              <w:rPr>
                <w:rFonts w:cs="Arial"/>
                <w:sz w:val="18"/>
                <w:szCs w:val="18"/>
                <w:lang w:bidi="ar-SA"/>
              </w:rPr>
            </w:pPr>
            <w:r>
              <w:rPr>
                <w:rFonts w:cs="Arial"/>
                <w:sz w:val="18"/>
                <w:szCs w:val="18"/>
                <w:lang w:bidi="ar-SA"/>
              </w:rPr>
              <w:t>No information provided</w:t>
            </w:r>
          </w:p>
        </w:tc>
        <w:tc>
          <w:tcPr>
            <w:tcW w:w="1559" w:type="dxa"/>
          </w:tcPr>
          <w:p w:rsidR="000263D8" w:rsidRPr="00CD4C45" w:rsidRDefault="005C04AD" w:rsidP="007437F9">
            <w:pPr>
              <w:rPr>
                <w:rFonts w:cs="Arial"/>
                <w:sz w:val="18"/>
                <w:szCs w:val="18"/>
                <w:lang w:bidi="ar-SA"/>
              </w:rPr>
            </w:pPr>
            <w:r>
              <w:rPr>
                <w:rFonts w:cs="Arial"/>
                <w:sz w:val="18"/>
                <w:szCs w:val="18"/>
                <w:lang w:bidi="ar-SA"/>
              </w:rPr>
              <w:t>NA</w:t>
            </w:r>
          </w:p>
        </w:tc>
        <w:tc>
          <w:tcPr>
            <w:tcW w:w="1767" w:type="dxa"/>
          </w:tcPr>
          <w:p w:rsidR="000263D8" w:rsidRPr="00CD4C45" w:rsidRDefault="00F72F99" w:rsidP="007437F9">
            <w:pPr>
              <w:rPr>
                <w:rFonts w:cs="Arial"/>
                <w:sz w:val="18"/>
                <w:szCs w:val="18"/>
                <w:lang w:bidi="ar-SA"/>
              </w:rPr>
            </w:pPr>
            <w:r w:rsidRPr="00CD4C45">
              <w:rPr>
                <w:rFonts w:cs="Arial"/>
                <w:sz w:val="18"/>
                <w:szCs w:val="18"/>
                <w:lang w:bidi="ar-SA"/>
              </w:rPr>
              <w:t>Relabelling can be combined with other label changes, therefore costs avoided.</w:t>
            </w:r>
          </w:p>
        </w:tc>
        <w:tc>
          <w:tcPr>
            <w:tcW w:w="1741" w:type="dxa"/>
          </w:tcPr>
          <w:p w:rsidR="000263D8" w:rsidRPr="00CD4C45" w:rsidRDefault="004E41C6" w:rsidP="007437F9">
            <w:pPr>
              <w:rPr>
                <w:rFonts w:cs="Arial"/>
                <w:sz w:val="18"/>
                <w:szCs w:val="18"/>
                <w:lang w:bidi="ar-SA"/>
              </w:rPr>
            </w:pPr>
            <w:r w:rsidRPr="00CD4C45">
              <w:rPr>
                <w:rFonts w:cs="Arial"/>
                <w:sz w:val="18"/>
                <w:szCs w:val="18"/>
                <w:lang w:bidi="ar-SA"/>
              </w:rPr>
              <w:t>Cost likely to be a lot less than $185,000 as costs can be shared with other changes</w:t>
            </w:r>
          </w:p>
        </w:tc>
      </w:tr>
      <w:tr w:rsidR="00362718" w:rsidTr="00343EFC">
        <w:trPr>
          <w:trHeight w:val="311"/>
        </w:trPr>
        <w:tc>
          <w:tcPr>
            <w:tcW w:w="9286" w:type="dxa"/>
            <w:gridSpan w:val="6"/>
            <w:vAlign w:val="center"/>
          </w:tcPr>
          <w:p w:rsidR="00362718" w:rsidRPr="00CD4C45" w:rsidRDefault="00362718" w:rsidP="003D43F8">
            <w:pPr>
              <w:rPr>
                <w:rFonts w:cs="Arial"/>
                <w:sz w:val="18"/>
                <w:szCs w:val="18"/>
                <w:lang w:bidi="ar-SA"/>
              </w:rPr>
            </w:pPr>
            <w:r w:rsidRPr="005C04AD">
              <w:rPr>
                <w:rFonts w:cs="Arial"/>
                <w:b/>
                <w:sz w:val="18"/>
                <w:szCs w:val="18"/>
                <w:u w:val="single"/>
                <w:lang w:bidi="ar-SA"/>
              </w:rPr>
              <w:t>Indirect cost of labelling changes</w:t>
            </w:r>
            <w:r w:rsidRPr="005C04AD">
              <w:rPr>
                <w:rFonts w:cs="Arial"/>
                <w:b/>
                <w:sz w:val="18"/>
                <w:szCs w:val="18"/>
                <w:lang w:bidi="ar-SA"/>
              </w:rPr>
              <w:t>:</w:t>
            </w:r>
          </w:p>
        </w:tc>
      </w:tr>
      <w:tr w:rsidR="004E41C6" w:rsidTr="00416C69">
        <w:tc>
          <w:tcPr>
            <w:tcW w:w="1951" w:type="dxa"/>
          </w:tcPr>
          <w:p w:rsidR="00A66715" w:rsidRPr="007437F9" w:rsidRDefault="00A66715" w:rsidP="007437F9">
            <w:pPr>
              <w:rPr>
                <w:rFonts w:cs="Arial"/>
                <w:b/>
                <w:sz w:val="18"/>
                <w:szCs w:val="18"/>
                <w:lang w:bidi="ar-SA"/>
              </w:rPr>
            </w:pPr>
            <w:r w:rsidRPr="007437F9">
              <w:rPr>
                <w:rFonts w:cs="Arial"/>
                <w:b/>
                <w:sz w:val="18"/>
                <w:szCs w:val="18"/>
                <w:lang w:bidi="ar-SA"/>
              </w:rPr>
              <w:t>Transition period ending 18 January 2016</w:t>
            </w:r>
          </w:p>
        </w:tc>
        <w:tc>
          <w:tcPr>
            <w:tcW w:w="2268" w:type="dxa"/>
            <w:gridSpan w:val="2"/>
          </w:tcPr>
          <w:p w:rsidR="00A66715" w:rsidRPr="00CD4C45" w:rsidRDefault="00A66715" w:rsidP="007437F9">
            <w:pPr>
              <w:pStyle w:val="ListParagraph"/>
              <w:numPr>
                <w:ilvl w:val="0"/>
                <w:numId w:val="11"/>
              </w:numPr>
              <w:ind w:left="148" w:hanging="228"/>
              <w:rPr>
                <w:rFonts w:cs="Arial"/>
                <w:sz w:val="18"/>
                <w:szCs w:val="18"/>
                <w:lang w:bidi="ar-SA"/>
              </w:rPr>
            </w:pPr>
            <w:r w:rsidRPr="00CD4C45">
              <w:rPr>
                <w:rFonts w:cs="Arial"/>
                <w:sz w:val="18"/>
                <w:szCs w:val="18"/>
                <w:lang w:bidi="ar-SA"/>
              </w:rPr>
              <w:t>$50,000 - $75</w:t>
            </w:r>
            <w:r w:rsidR="00A80F39">
              <w:rPr>
                <w:rFonts w:cs="Arial"/>
                <w:sz w:val="18"/>
                <w:szCs w:val="18"/>
                <w:lang w:bidi="ar-SA"/>
              </w:rPr>
              <w:t xml:space="preserve">,000 </w:t>
            </w:r>
            <w:r w:rsidRPr="00CD4C45">
              <w:rPr>
                <w:rFonts w:cs="Arial"/>
                <w:sz w:val="18"/>
                <w:szCs w:val="18"/>
                <w:lang w:bidi="ar-SA"/>
              </w:rPr>
              <w:t>per pr</w:t>
            </w:r>
            <w:r w:rsidR="00A80F39">
              <w:rPr>
                <w:rFonts w:cs="Arial"/>
                <w:sz w:val="18"/>
                <w:szCs w:val="18"/>
                <w:lang w:bidi="ar-SA"/>
              </w:rPr>
              <w:t>oduct</w:t>
            </w:r>
            <w:r w:rsidR="00343EFC">
              <w:rPr>
                <w:rFonts w:cs="Arial"/>
                <w:sz w:val="18"/>
                <w:szCs w:val="18"/>
                <w:lang w:bidi="ar-SA"/>
              </w:rPr>
              <w:t xml:space="preserve"> for products with shelf life beyond January 2016</w:t>
            </w:r>
            <w:r w:rsidR="00A80F39">
              <w:rPr>
                <w:rFonts w:cs="Arial"/>
                <w:sz w:val="18"/>
                <w:szCs w:val="18"/>
                <w:lang w:bidi="ar-SA"/>
              </w:rPr>
              <w:t>; total cost - $650,000 for withdrawal</w:t>
            </w:r>
            <w:r w:rsidR="00343EFC">
              <w:rPr>
                <w:rFonts w:cs="Arial"/>
                <w:sz w:val="18"/>
                <w:szCs w:val="18"/>
                <w:lang w:bidi="ar-SA"/>
              </w:rPr>
              <w:t xml:space="preserve"> and relabelling or disposal</w:t>
            </w:r>
            <w:r w:rsidR="00A80F39">
              <w:rPr>
                <w:rFonts w:cs="Arial"/>
                <w:sz w:val="18"/>
                <w:szCs w:val="18"/>
                <w:lang w:bidi="ar-SA"/>
              </w:rPr>
              <w:t xml:space="preserve"> of</w:t>
            </w:r>
            <w:r w:rsidRPr="00CD4C45">
              <w:rPr>
                <w:rFonts w:cs="Arial"/>
                <w:sz w:val="18"/>
                <w:szCs w:val="18"/>
                <w:lang w:bidi="ar-SA"/>
              </w:rPr>
              <w:t xml:space="preserve"> 9 legume products (worst case scenario)</w:t>
            </w:r>
          </w:p>
          <w:p w:rsidR="00844E9C" w:rsidRPr="00CD4C45" w:rsidRDefault="00844E9C" w:rsidP="007437F9">
            <w:pPr>
              <w:pStyle w:val="ListParagraph"/>
              <w:numPr>
                <w:ilvl w:val="0"/>
                <w:numId w:val="11"/>
              </w:numPr>
              <w:ind w:left="148" w:hanging="228"/>
              <w:rPr>
                <w:rFonts w:cs="Arial"/>
                <w:sz w:val="18"/>
                <w:szCs w:val="18"/>
                <w:lang w:bidi="ar-SA"/>
              </w:rPr>
            </w:pPr>
            <w:r w:rsidRPr="00CD4C45">
              <w:rPr>
                <w:rFonts w:cs="Arial"/>
                <w:sz w:val="18"/>
                <w:szCs w:val="18"/>
                <w:lang w:bidi="ar-SA"/>
              </w:rPr>
              <w:t xml:space="preserve">$50,000 </w:t>
            </w:r>
            <w:r w:rsidR="007437F9">
              <w:rPr>
                <w:rFonts w:cs="Arial"/>
                <w:sz w:val="18"/>
                <w:szCs w:val="18"/>
                <w:lang w:bidi="ar-SA"/>
              </w:rPr>
              <w:t>per</w:t>
            </w:r>
            <w:r w:rsidRPr="00CD4C45">
              <w:rPr>
                <w:rFonts w:cs="Arial"/>
                <w:sz w:val="18"/>
                <w:szCs w:val="18"/>
                <w:lang w:bidi="ar-SA"/>
              </w:rPr>
              <w:t xml:space="preserve"> food business to write off label stocks</w:t>
            </w:r>
          </w:p>
        </w:tc>
        <w:tc>
          <w:tcPr>
            <w:tcW w:w="1559" w:type="dxa"/>
          </w:tcPr>
          <w:p w:rsidR="00A66715" w:rsidRPr="00CD4C45" w:rsidRDefault="00AC3F1A" w:rsidP="007437F9">
            <w:pPr>
              <w:rPr>
                <w:rFonts w:cs="Arial"/>
                <w:sz w:val="18"/>
                <w:szCs w:val="18"/>
                <w:lang w:bidi="ar-SA"/>
              </w:rPr>
            </w:pPr>
            <w:r w:rsidRPr="00CD4C45">
              <w:rPr>
                <w:rFonts w:cs="Arial"/>
                <w:sz w:val="18"/>
                <w:szCs w:val="18"/>
                <w:lang w:bidi="ar-SA"/>
              </w:rPr>
              <w:t xml:space="preserve">Costs associated </w:t>
            </w:r>
            <w:r w:rsidR="006432A0">
              <w:rPr>
                <w:rFonts w:cs="Arial"/>
                <w:sz w:val="18"/>
                <w:szCs w:val="18"/>
                <w:lang w:bidi="ar-SA"/>
              </w:rPr>
              <w:t xml:space="preserve">with </w:t>
            </w:r>
            <w:r w:rsidRPr="00CD4C45">
              <w:rPr>
                <w:rFonts w:cs="Arial"/>
                <w:sz w:val="18"/>
                <w:szCs w:val="18"/>
                <w:lang w:bidi="ar-SA"/>
              </w:rPr>
              <w:t>packaging write-off</w:t>
            </w:r>
            <w:r w:rsidR="00AC0813" w:rsidRPr="00CD4C45">
              <w:rPr>
                <w:rFonts w:cs="Arial"/>
                <w:sz w:val="18"/>
                <w:szCs w:val="18"/>
                <w:lang w:bidi="ar-SA"/>
              </w:rPr>
              <w:t xml:space="preserve"> (estimate not provided)</w:t>
            </w:r>
            <w:r w:rsidRPr="00CD4C45">
              <w:rPr>
                <w:rFonts w:cs="Arial"/>
                <w:sz w:val="18"/>
                <w:szCs w:val="18"/>
                <w:lang w:bidi="ar-SA"/>
              </w:rPr>
              <w:t>.</w:t>
            </w:r>
          </w:p>
        </w:tc>
        <w:tc>
          <w:tcPr>
            <w:tcW w:w="1767" w:type="dxa"/>
          </w:tcPr>
          <w:p w:rsidR="00A66715" w:rsidRPr="00CD4C45" w:rsidRDefault="00F72F99" w:rsidP="007437F9">
            <w:pPr>
              <w:rPr>
                <w:rFonts w:cs="Arial"/>
                <w:sz w:val="18"/>
                <w:szCs w:val="18"/>
                <w:lang w:bidi="ar-SA"/>
              </w:rPr>
            </w:pPr>
            <w:r w:rsidRPr="00CD4C45">
              <w:rPr>
                <w:rFonts w:cs="Arial"/>
                <w:sz w:val="18"/>
                <w:szCs w:val="18"/>
                <w:lang w:bidi="ar-SA"/>
              </w:rPr>
              <w:t>Unable to provide cost estimate as need to know stock on hand just before January 2016. Could have up to 10 weeks stock to withdraw. Therefore would be costs to withdraw stock from trade and write the stock off along with costs of writing off packaging</w:t>
            </w:r>
          </w:p>
        </w:tc>
        <w:tc>
          <w:tcPr>
            <w:tcW w:w="1741" w:type="dxa"/>
          </w:tcPr>
          <w:p w:rsidR="00A66715" w:rsidRPr="00CD4C45" w:rsidRDefault="004E41C6" w:rsidP="007437F9">
            <w:pPr>
              <w:rPr>
                <w:rFonts w:cs="Arial"/>
                <w:sz w:val="18"/>
                <w:szCs w:val="18"/>
                <w:lang w:bidi="ar-SA"/>
              </w:rPr>
            </w:pPr>
            <w:r w:rsidRPr="00CD4C45">
              <w:rPr>
                <w:rFonts w:cs="Arial"/>
                <w:sz w:val="18"/>
                <w:szCs w:val="18"/>
                <w:lang w:bidi="ar-SA"/>
              </w:rPr>
              <w:t>$500,000 for product withdrawal and packaging write off</w:t>
            </w:r>
          </w:p>
        </w:tc>
      </w:tr>
      <w:tr w:rsidR="004E41C6" w:rsidTr="00416C69">
        <w:tc>
          <w:tcPr>
            <w:tcW w:w="1951" w:type="dxa"/>
          </w:tcPr>
          <w:p w:rsidR="00A66715" w:rsidRPr="007437F9" w:rsidRDefault="00A66715" w:rsidP="007437F9">
            <w:pPr>
              <w:rPr>
                <w:rFonts w:cs="Arial"/>
                <w:b/>
                <w:sz w:val="18"/>
                <w:szCs w:val="18"/>
                <w:lang w:bidi="ar-SA"/>
              </w:rPr>
            </w:pPr>
            <w:r w:rsidRPr="007437F9">
              <w:rPr>
                <w:rFonts w:cs="Arial"/>
                <w:b/>
                <w:sz w:val="18"/>
                <w:szCs w:val="18"/>
                <w:lang w:bidi="ar-SA"/>
              </w:rPr>
              <w:t>Transition period ending 18 January 2017</w:t>
            </w:r>
          </w:p>
        </w:tc>
        <w:tc>
          <w:tcPr>
            <w:tcW w:w="2268" w:type="dxa"/>
            <w:gridSpan w:val="2"/>
          </w:tcPr>
          <w:p w:rsidR="00A66715" w:rsidRPr="00CD4C45" w:rsidRDefault="00844E9C" w:rsidP="007437F9">
            <w:pPr>
              <w:rPr>
                <w:rFonts w:cs="Arial"/>
                <w:sz w:val="18"/>
                <w:szCs w:val="18"/>
                <w:lang w:bidi="ar-SA"/>
              </w:rPr>
            </w:pPr>
            <w:r w:rsidRPr="00CD4C45">
              <w:rPr>
                <w:rFonts w:cs="Arial"/>
                <w:sz w:val="18"/>
                <w:szCs w:val="18"/>
                <w:lang w:bidi="ar-SA"/>
              </w:rPr>
              <w:t xml:space="preserve">Above </w:t>
            </w:r>
            <w:r w:rsidR="00AC0813" w:rsidRPr="00CD4C45">
              <w:rPr>
                <w:rFonts w:cs="Arial"/>
                <w:sz w:val="18"/>
                <w:szCs w:val="18"/>
                <w:lang w:bidi="ar-SA"/>
              </w:rPr>
              <w:t xml:space="preserve">indirect </w:t>
            </w:r>
            <w:r w:rsidRPr="00CD4C45">
              <w:rPr>
                <w:rFonts w:cs="Arial"/>
                <w:sz w:val="18"/>
                <w:szCs w:val="18"/>
                <w:lang w:bidi="ar-SA"/>
              </w:rPr>
              <w:t>costs largely avoided</w:t>
            </w:r>
          </w:p>
        </w:tc>
        <w:tc>
          <w:tcPr>
            <w:tcW w:w="1559" w:type="dxa"/>
          </w:tcPr>
          <w:p w:rsidR="00A66715" w:rsidRPr="00CD4C45" w:rsidRDefault="00AC0813" w:rsidP="007437F9">
            <w:pPr>
              <w:rPr>
                <w:rFonts w:cs="Arial"/>
                <w:sz w:val="18"/>
                <w:szCs w:val="18"/>
                <w:lang w:bidi="ar-SA"/>
              </w:rPr>
            </w:pPr>
            <w:r w:rsidRPr="00CD4C45">
              <w:rPr>
                <w:rFonts w:cs="Arial"/>
                <w:sz w:val="18"/>
                <w:szCs w:val="18"/>
                <w:lang w:bidi="ar-SA"/>
              </w:rPr>
              <w:t>Above indirect costs largely avoided</w:t>
            </w:r>
          </w:p>
        </w:tc>
        <w:tc>
          <w:tcPr>
            <w:tcW w:w="1767" w:type="dxa"/>
          </w:tcPr>
          <w:p w:rsidR="00A66715" w:rsidRPr="00CD4C45" w:rsidRDefault="00F72F99" w:rsidP="007437F9">
            <w:pPr>
              <w:rPr>
                <w:rFonts w:cs="Arial"/>
                <w:sz w:val="18"/>
                <w:szCs w:val="18"/>
                <w:lang w:bidi="ar-SA"/>
              </w:rPr>
            </w:pPr>
            <w:r w:rsidRPr="00CD4C45">
              <w:rPr>
                <w:rFonts w:cs="Arial"/>
                <w:sz w:val="18"/>
                <w:szCs w:val="18"/>
                <w:lang w:bidi="ar-SA"/>
              </w:rPr>
              <w:t>Above indirect costs avoided.</w:t>
            </w:r>
          </w:p>
        </w:tc>
        <w:tc>
          <w:tcPr>
            <w:tcW w:w="1741" w:type="dxa"/>
          </w:tcPr>
          <w:p w:rsidR="00A66715" w:rsidRPr="00CD4C45" w:rsidRDefault="004E41C6" w:rsidP="007437F9">
            <w:pPr>
              <w:rPr>
                <w:rFonts w:cs="Arial"/>
                <w:sz w:val="18"/>
                <w:szCs w:val="18"/>
                <w:lang w:bidi="ar-SA"/>
              </w:rPr>
            </w:pPr>
            <w:r w:rsidRPr="00CD4C45">
              <w:rPr>
                <w:rFonts w:cs="Arial"/>
                <w:sz w:val="18"/>
                <w:szCs w:val="18"/>
                <w:lang w:bidi="ar-SA"/>
              </w:rPr>
              <w:t>Above indirect costs avoided</w:t>
            </w:r>
          </w:p>
        </w:tc>
      </w:tr>
      <w:tr w:rsidR="00362718" w:rsidTr="00343EFC">
        <w:trPr>
          <w:trHeight w:val="311"/>
        </w:trPr>
        <w:tc>
          <w:tcPr>
            <w:tcW w:w="9286" w:type="dxa"/>
            <w:gridSpan w:val="6"/>
            <w:vAlign w:val="center"/>
          </w:tcPr>
          <w:p w:rsidR="00362718" w:rsidRPr="00CD4C45" w:rsidRDefault="00362718" w:rsidP="0052439D">
            <w:pPr>
              <w:keepNext/>
              <w:rPr>
                <w:rFonts w:cs="Arial"/>
                <w:sz w:val="18"/>
                <w:szCs w:val="18"/>
                <w:lang w:bidi="ar-SA"/>
              </w:rPr>
            </w:pPr>
            <w:r w:rsidRPr="005C04AD">
              <w:rPr>
                <w:rFonts w:cs="Arial"/>
                <w:b/>
                <w:sz w:val="18"/>
                <w:szCs w:val="18"/>
                <w:u w:val="single"/>
                <w:lang w:bidi="ar-SA"/>
              </w:rPr>
              <w:lastRenderedPageBreak/>
              <w:t>Cost of product reformulation:</w:t>
            </w:r>
          </w:p>
        </w:tc>
      </w:tr>
      <w:tr w:rsidR="004E41C6" w:rsidTr="00416C69">
        <w:tc>
          <w:tcPr>
            <w:tcW w:w="1979" w:type="dxa"/>
            <w:gridSpan w:val="2"/>
          </w:tcPr>
          <w:p w:rsidR="00A66715" w:rsidRPr="007437F9" w:rsidRDefault="00A66715" w:rsidP="0052439D">
            <w:pPr>
              <w:keepNext/>
              <w:rPr>
                <w:rFonts w:cs="Arial"/>
                <w:b/>
                <w:sz w:val="18"/>
                <w:szCs w:val="18"/>
                <w:lang w:bidi="ar-SA"/>
              </w:rPr>
            </w:pPr>
            <w:r w:rsidRPr="007437F9">
              <w:rPr>
                <w:rFonts w:cs="Arial"/>
                <w:b/>
                <w:sz w:val="18"/>
                <w:szCs w:val="18"/>
                <w:lang w:bidi="ar-SA"/>
              </w:rPr>
              <w:t>Transition period ending 18 January 2016</w:t>
            </w:r>
          </w:p>
        </w:tc>
        <w:tc>
          <w:tcPr>
            <w:tcW w:w="2240" w:type="dxa"/>
          </w:tcPr>
          <w:p w:rsidR="00A66715" w:rsidRPr="00CD4C45" w:rsidRDefault="00CD59C4" w:rsidP="007437F9">
            <w:pPr>
              <w:rPr>
                <w:rFonts w:cs="Arial"/>
                <w:sz w:val="18"/>
                <w:szCs w:val="18"/>
                <w:lang w:bidi="ar-SA"/>
              </w:rPr>
            </w:pPr>
            <w:r>
              <w:rPr>
                <w:rFonts w:cs="Arial"/>
                <w:sz w:val="18"/>
                <w:szCs w:val="18"/>
                <w:lang w:bidi="ar-SA"/>
              </w:rPr>
              <w:t>$15,000 - $25,000 per product</w:t>
            </w:r>
          </w:p>
        </w:tc>
        <w:tc>
          <w:tcPr>
            <w:tcW w:w="1559" w:type="dxa"/>
          </w:tcPr>
          <w:p w:rsidR="00A66715" w:rsidRPr="00CD4C45" w:rsidRDefault="005C04AD" w:rsidP="007437F9">
            <w:pPr>
              <w:rPr>
                <w:rFonts w:cs="Arial"/>
                <w:sz w:val="18"/>
                <w:szCs w:val="18"/>
                <w:lang w:bidi="ar-SA"/>
              </w:rPr>
            </w:pPr>
            <w:r>
              <w:rPr>
                <w:rFonts w:cs="Arial"/>
                <w:sz w:val="18"/>
                <w:szCs w:val="18"/>
                <w:lang w:bidi="ar-SA"/>
              </w:rPr>
              <w:t>NA</w:t>
            </w:r>
          </w:p>
        </w:tc>
        <w:tc>
          <w:tcPr>
            <w:tcW w:w="1767" w:type="dxa"/>
          </w:tcPr>
          <w:p w:rsidR="00A66715" w:rsidRPr="00CD4C45" w:rsidRDefault="00F72F99" w:rsidP="007437F9">
            <w:pPr>
              <w:rPr>
                <w:rFonts w:cs="Arial"/>
                <w:sz w:val="18"/>
                <w:szCs w:val="18"/>
                <w:lang w:bidi="ar-SA"/>
              </w:rPr>
            </w:pPr>
            <w:r w:rsidRPr="00CD4C45">
              <w:rPr>
                <w:rFonts w:cs="Arial"/>
                <w:sz w:val="18"/>
                <w:szCs w:val="18"/>
                <w:lang w:bidi="ar-SA"/>
              </w:rPr>
              <w:t>Not reformulating any products</w:t>
            </w:r>
          </w:p>
        </w:tc>
        <w:tc>
          <w:tcPr>
            <w:tcW w:w="1741" w:type="dxa"/>
          </w:tcPr>
          <w:p w:rsidR="00A66715" w:rsidRPr="00CD4C45" w:rsidRDefault="00BC6896" w:rsidP="007437F9">
            <w:pPr>
              <w:rPr>
                <w:rFonts w:cs="Arial"/>
                <w:sz w:val="18"/>
                <w:szCs w:val="18"/>
                <w:lang w:bidi="ar-SA"/>
              </w:rPr>
            </w:pPr>
            <w:r w:rsidRPr="00CD4C45">
              <w:rPr>
                <w:rFonts w:cs="Arial"/>
                <w:sz w:val="18"/>
                <w:szCs w:val="18"/>
                <w:lang w:bidi="ar-SA"/>
              </w:rPr>
              <w:t>$150,000 - $200,000 for 12 products</w:t>
            </w:r>
            <w:r w:rsidR="005C04AD">
              <w:rPr>
                <w:rFonts w:cs="Arial"/>
                <w:sz w:val="18"/>
                <w:szCs w:val="18"/>
                <w:lang w:bidi="ar-SA"/>
              </w:rPr>
              <w:t xml:space="preserve"> (includes relabelling costs) (</w:t>
            </w:r>
            <w:r w:rsidR="00A80F39">
              <w:rPr>
                <w:rFonts w:cs="Arial"/>
                <w:sz w:val="18"/>
                <w:szCs w:val="18"/>
                <w:lang w:bidi="ar-SA"/>
              </w:rPr>
              <w:t xml:space="preserve">to be </w:t>
            </w:r>
            <w:r w:rsidRPr="00CD4C45">
              <w:rPr>
                <w:rFonts w:cs="Arial"/>
                <w:sz w:val="18"/>
                <w:szCs w:val="18"/>
                <w:lang w:bidi="ar-SA"/>
              </w:rPr>
              <w:t>completed by January 2016)</w:t>
            </w:r>
          </w:p>
        </w:tc>
      </w:tr>
      <w:tr w:rsidR="004E41C6" w:rsidTr="00416C69">
        <w:tc>
          <w:tcPr>
            <w:tcW w:w="1979" w:type="dxa"/>
            <w:gridSpan w:val="2"/>
          </w:tcPr>
          <w:p w:rsidR="00A66715" w:rsidRPr="007437F9" w:rsidRDefault="00A66715" w:rsidP="007437F9">
            <w:pPr>
              <w:rPr>
                <w:rFonts w:cs="Arial"/>
                <w:b/>
                <w:sz w:val="18"/>
                <w:szCs w:val="18"/>
                <w:lang w:bidi="ar-SA"/>
              </w:rPr>
            </w:pPr>
            <w:r w:rsidRPr="007437F9">
              <w:rPr>
                <w:rFonts w:cs="Arial"/>
                <w:b/>
                <w:sz w:val="18"/>
                <w:szCs w:val="18"/>
                <w:lang w:bidi="ar-SA"/>
              </w:rPr>
              <w:t>Transition period ending 18 January 2017</w:t>
            </w:r>
          </w:p>
        </w:tc>
        <w:tc>
          <w:tcPr>
            <w:tcW w:w="2240" w:type="dxa"/>
          </w:tcPr>
          <w:p w:rsidR="00A66715" w:rsidRPr="00CD4C45" w:rsidRDefault="005C04AD" w:rsidP="007437F9">
            <w:pPr>
              <w:rPr>
                <w:rFonts w:cs="Arial"/>
                <w:sz w:val="18"/>
                <w:szCs w:val="18"/>
                <w:lang w:bidi="ar-SA"/>
              </w:rPr>
            </w:pPr>
            <w:r>
              <w:rPr>
                <w:rFonts w:cs="Arial"/>
                <w:sz w:val="18"/>
                <w:szCs w:val="18"/>
                <w:lang w:bidi="ar-SA"/>
              </w:rPr>
              <w:t>No information provided</w:t>
            </w:r>
          </w:p>
        </w:tc>
        <w:tc>
          <w:tcPr>
            <w:tcW w:w="1559" w:type="dxa"/>
          </w:tcPr>
          <w:p w:rsidR="00A66715" w:rsidRPr="00CD4C45" w:rsidRDefault="005C04AD" w:rsidP="007437F9">
            <w:pPr>
              <w:rPr>
                <w:rFonts w:cs="Arial"/>
                <w:sz w:val="18"/>
                <w:szCs w:val="18"/>
                <w:lang w:bidi="ar-SA"/>
              </w:rPr>
            </w:pPr>
            <w:r>
              <w:rPr>
                <w:rFonts w:cs="Arial"/>
                <w:sz w:val="18"/>
                <w:szCs w:val="18"/>
                <w:lang w:bidi="ar-SA"/>
              </w:rPr>
              <w:t>NA</w:t>
            </w:r>
          </w:p>
        </w:tc>
        <w:tc>
          <w:tcPr>
            <w:tcW w:w="1767" w:type="dxa"/>
          </w:tcPr>
          <w:p w:rsidR="00A66715" w:rsidRPr="00CD4C45" w:rsidRDefault="00F72F99" w:rsidP="007437F9">
            <w:pPr>
              <w:rPr>
                <w:rFonts w:cs="Arial"/>
                <w:sz w:val="18"/>
                <w:szCs w:val="18"/>
                <w:lang w:bidi="ar-SA"/>
              </w:rPr>
            </w:pPr>
            <w:r w:rsidRPr="00CD4C45">
              <w:rPr>
                <w:rFonts w:cs="Arial"/>
                <w:sz w:val="18"/>
                <w:szCs w:val="18"/>
                <w:lang w:bidi="ar-SA"/>
              </w:rPr>
              <w:t>Not reformulating any products</w:t>
            </w:r>
          </w:p>
        </w:tc>
        <w:tc>
          <w:tcPr>
            <w:tcW w:w="1741" w:type="dxa"/>
          </w:tcPr>
          <w:p w:rsidR="00A66715" w:rsidRPr="00CD4C45" w:rsidRDefault="00BC6896" w:rsidP="007437F9">
            <w:pPr>
              <w:rPr>
                <w:rFonts w:cs="Arial"/>
                <w:sz w:val="18"/>
                <w:szCs w:val="18"/>
                <w:lang w:bidi="ar-SA"/>
              </w:rPr>
            </w:pPr>
            <w:r w:rsidRPr="00CD4C45">
              <w:rPr>
                <w:rFonts w:cs="Arial"/>
                <w:sz w:val="18"/>
                <w:szCs w:val="18"/>
                <w:lang w:bidi="ar-SA"/>
              </w:rPr>
              <w:t>Cost same as above</w:t>
            </w:r>
          </w:p>
        </w:tc>
      </w:tr>
    </w:tbl>
    <w:p w:rsidR="005401C8" w:rsidRDefault="005401C8" w:rsidP="005401C8">
      <w:bookmarkStart w:id="44" w:name="_Toc175381442"/>
      <w:bookmarkStart w:id="45" w:name="_Toc286391010"/>
      <w:bookmarkStart w:id="46" w:name="_Toc300933426"/>
      <w:r>
        <w:rPr>
          <w:rFonts w:cs="Arial"/>
          <w:sz w:val="18"/>
          <w:szCs w:val="18"/>
          <w:vertAlign w:val="superscript"/>
          <w:lang w:bidi="ar-SA"/>
        </w:rPr>
        <w:t xml:space="preserve">1 </w:t>
      </w:r>
      <w:r>
        <w:rPr>
          <w:rFonts w:cs="Arial"/>
          <w:sz w:val="18"/>
          <w:szCs w:val="18"/>
          <w:lang w:bidi="ar-SA"/>
        </w:rPr>
        <w:t xml:space="preserve">Data were collected in </w:t>
      </w:r>
      <w:r w:rsidRPr="00CD4C45">
        <w:rPr>
          <w:rFonts w:cs="Arial"/>
          <w:sz w:val="18"/>
          <w:szCs w:val="18"/>
          <w:lang w:bidi="ar-SA"/>
        </w:rPr>
        <w:t>Dec</w:t>
      </w:r>
      <w:r w:rsidR="00E83657">
        <w:rPr>
          <w:rFonts w:cs="Arial"/>
          <w:sz w:val="18"/>
          <w:szCs w:val="18"/>
          <w:lang w:bidi="ar-SA"/>
        </w:rPr>
        <w:t xml:space="preserve">ember </w:t>
      </w:r>
      <w:r>
        <w:rPr>
          <w:rFonts w:cs="Arial"/>
          <w:sz w:val="18"/>
          <w:szCs w:val="18"/>
          <w:lang w:bidi="ar-SA"/>
        </w:rPr>
        <w:t>2013 a</w:t>
      </w:r>
      <w:r w:rsidR="002557C3">
        <w:rPr>
          <w:rFonts w:cs="Arial"/>
          <w:sz w:val="18"/>
          <w:szCs w:val="18"/>
          <w:lang w:bidi="ar-SA"/>
        </w:rPr>
        <w:t>nd July 2014 as shown in Table 3</w:t>
      </w:r>
      <w:r>
        <w:rPr>
          <w:rFonts w:cs="Arial"/>
          <w:sz w:val="18"/>
          <w:szCs w:val="18"/>
          <w:lang w:bidi="ar-SA"/>
        </w:rPr>
        <w:t xml:space="preserve"> of this report.</w:t>
      </w:r>
    </w:p>
    <w:p w:rsidR="004F69F6" w:rsidRPr="00932F14" w:rsidRDefault="00D3171B" w:rsidP="004646F8">
      <w:pPr>
        <w:pStyle w:val="Heading2"/>
      </w:pPr>
      <w:bookmarkStart w:id="47" w:name="_Toc414615578"/>
      <w:r>
        <w:t>2</w:t>
      </w:r>
      <w:r w:rsidR="0045556F">
        <w:t>.</w:t>
      </w:r>
      <w:r w:rsidR="0080629E">
        <w:t>4</w:t>
      </w:r>
      <w:r w:rsidR="00271F00">
        <w:tab/>
      </w:r>
      <w:bookmarkEnd w:id="44"/>
      <w:bookmarkEnd w:id="45"/>
      <w:bookmarkEnd w:id="46"/>
      <w:r w:rsidR="0045556F">
        <w:t>R</w:t>
      </w:r>
      <w:r w:rsidR="00707E72">
        <w:t>isk m</w:t>
      </w:r>
      <w:r w:rsidR="008A35FB">
        <w:t>anagement</w:t>
      </w:r>
      <w:bookmarkEnd w:id="47"/>
    </w:p>
    <w:p w:rsidR="002C4FC1" w:rsidRDefault="002C4FC1" w:rsidP="00DD3C5E">
      <w:bookmarkStart w:id="48" w:name="_Toc300761910"/>
      <w:r>
        <w:t xml:space="preserve">As discussed above, those food businesses that </w:t>
      </w:r>
      <w:r w:rsidR="005D30A8">
        <w:t xml:space="preserve">elected to </w:t>
      </w:r>
      <w:r>
        <w:t xml:space="preserve">delay transitioning to the </w:t>
      </w:r>
      <w:r w:rsidR="002F7F15">
        <w:t xml:space="preserve">qualifying criteria </w:t>
      </w:r>
      <w:r>
        <w:t xml:space="preserve">for nutrition content claims about dietary fibre in Standard 1.2.7 </w:t>
      </w:r>
      <w:r w:rsidR="005D30A8">
        <w:t>pending</w:t>
      </w:r>
      <w:r>
        <w:t xml:space="preserve"> FSANZ</w:t>
      </w:r>
      <w:r w:rsidR="005D30A8">
        <w:t>’s</w:t>
      </w:r>
      <w:r>
        <w:t xml:space="preserve"> </w:t>
      </w:r>
      <w:r w:rsidR="00E917AD">
        <w:t>consideration</w:t>
      </w:r>
      <w:r w:rsidR="005D30A8">
        <w:t xml:space="preserve"> </w:t>
      </w:r>
      <w:r>
        <w:t>of the qualifying criteria in 2013</w:t>
      </w:r>
      <w:r w:rsidR="005401C8">
        <w:t>,</w:t>
      </w:r>
      <w:r>
        <w:t xml:space="preserve"> may incur costs from labelling changes, product withdrawal and p</w:t>
      </w:r>
      <w:r w:rsidR="008F63D7">
        <w:t>ackaging write-</w:t>
      </w:r>
      <w:r>
        <w:t>off if the end of the transition period remains as January 2016.</w:t>
      </w:r>
      <w:r w:rsidR="00D250C9">
        <w:t xml:space="preserve"> The issue is likely to be compounded for products with a longer shelf-life</w:t>
      </w:r>
      <w:r w:rsidR="0008451B">
        <w:t>,</w:t>
      </w:r>
      <w:r w:rsidR="00D250C9">
        <w:t xml:space="preserve"> given there is no stock</w:t>
      </w:r>
      <w:r w:rsidR="0008451B">
        <w:t>-</w:t>
      </w:r>
      <w:r w:rsidR="00D250C9">
        <w:t>in</w:t>
      </w:r>
      <w:r w:rsidR="0008451B">
        <w:t>-</w:t>
      </w:r>
      <w:r w:rsidR="00D250C9">
        <w:t>trade provision to allow non-compliant stock to remain on sale.</w:t>
      </w:r>
    </w:p>
    <w:p w:rsidR="002C4FC1" w:rsidRDefault="002C4FC1" w:rsidP="00DD3C5E"/>
    <w:p w:rsidR="007D2C4F" w:rsidRDefault="002C4FC1" w:rsidP="00DD3C5E">
      <w:r>
        <w:t xml:space="preserve">Information and data provided </w:t>
      </w:r>
      <w:r w:rsidR="00C7119D">
        <w:t xml:space="preserve">by </w:t>
      </w:r>
      <w:r>
        <w:t xml:space="preserve">the Applicant and food businesses suggest that compliance costs could be </w:t>
      </w:r>
      <w:r w:rsidR="005401C8">
        <w:t>minimised</w:t>
      </w:r>
      <w:r>
        <w:t xml:space="preserve"> if</w:t>
      </w:r>
      <w:r w:rsidR="00C7119D">
        <w:t xml:space="preserve"> the </w:t>
      </w:r>
      <w:r w:rsidR="00E30908">
        <w:t xml:space="preserve">requirement to comply with </w:t>
      </w:r>
      <w:r w:rsidR="002F7F15">
        <w:t>the qualifying criteria for</w:t>
      </w:r>
      <w:r w:rsidR="00E917AD">
        <w:t xml:space="preserve"> </w:t>
      </w:r>
      <w:r w:rsidR="00C7119D">
        <w:t>nutrition content claims about dietary fibre</w:t>
      </w:r>
      <w:r w:rsidR="00E917AD">
        <w:t xml:space="preserve"> is delayed for</w:t>
      </w:r>
      <w:r w:rsidR="00B950C8">
        <w:t xml:space="preserve"> 12 months.</w:t>
      </w:r>
      <w:r w:rsidR="00DA2D56">
        <w:t xml:space="preserve"> Although the information available does not allow a full understanding of the magnitude of the costs involved</w:t>
      </w:r>
      <w:r w:rsidR="005401C8">
        <w:t>, it is apparent that compliance costs would be reduced for some food businesses. T</w:t>
      </w:r>
      <w:r w:rsidR="00DA2D56">
        <w:t xml:space="preserve">here appears to be no opposition </w:t>
      </w:r>
      <w:r w:rsidR="007D2C4F">
        <w:t xml:space="preserve">to the proposed delay </w:t>
      </w:r>
      <w:r w:rsidR="00DA2D56">
        <w:t xml:space="preserve">from </w:t>
      </w:r>
      <w:r w:rsidR="001F2785">
        <w:t>the food industry in general</w:t>
      </w:r>
      <w:r w:rsidR="007D2C4F">
        <w:t>.</w:t>
      </w:r>
    </w:p>
    <w:p w:rsidR="007D2C4F" w:rsidRDefault="007D2C4F" w:rsidP="00DD3C5E"/>
    <w:p w:rsidR="00DA2D56" w:rsidRDefault="00B950C8" w:rsidP="00DD3C5E">
      <w:r>
        <w:t>The Cancer Council of Australia, the Cancer Council of New Zealand and the New Zealand Ministry for Primary</w:t>
      </w:r>
      <w:r w:rsidR="007D2C4F">
        <w:t xml:space="preserve"> Industries do not support the Application. The view from these submitters</w:t>
      </w:r>
      <w:r w:rsidR="00D250C9">
        <w:t>,</w:t>
      </w:r>
      <w:r w:rsidR="007D2C4F">
        <w:t xml:space="preserve"> that two years is sufficient for labelling and/or product changes</w:t>
      </w:r>
      <w:r w:rsidR="00D250C9">
        <w:t>,</w:t>
      </w:r>
      <w:r w:rsidR="007D2C4F">
        <w:t xml:space="preserve"> is contested by the food businesses </w:t>
      </w:r>
      <w:r w:rsidR="00E917AD">
        <w:t>that provided</w:t>
      </w:r>
      <w:r w:rsidR="007D2C4F">
        <w:t xml:space="preserve"> submissions. Even though the small number of submissions received suggests that the two</w:t>
      </w:r>
      <w:r w:rsidR="0008451B">
        <w:t>-</w:t>
      </w:r>
      <w:r w:rsidR="007D2C4F">
        <w:t>year transition period (December 2013 to January 2016) may be sufficient for many food businesses, for others the two</w:t>
      </w:r>
      <w:r w:rsidR="0008451B">
        <w:t>-</w:t>
      </w:r>
      <w:r w:rsidR="007D2C4F">
        <w:t>year period</w:t>
      </w:r>
      <w:r w:rsidR="006C18CB">
        <w:t xml:space="preserve"> appears to lead</w:t>
      </w:r>
      <w:r w:rsidR="007D2C4F">
        <w:t xml:space="preserve"> to higher compliance costs</w:t>
      </w:r>
      <w:r w:rsidR="00BD1D27">
        <w:t xml:space="preserve"> that can be largely avoided with an additional 12 months</w:t>
      </w:r>
      <w:r w:rsidR="0008451B">
        <w:t>’</w:t>
      </w:r>
      <w:r w:rsidR="000D4EFD">
        <w:t xml:space="preserve"> transition time</w:t>
      </w:r>
      <w:r w:rsidR="00BD1D27">
        <w:t>.</w:t>
      </w:r>
      <w:r w:rsidR="00BA3DA7">
        <w:t xml:space="preserve"> </w:t>
      </w:r>
    </w:p>
    <w:p w:rsidR="004C282D" w:rsidRDefault="004C282D" w:rsidP="00DD3C5E"/>
    <w:p w:rsidR="00BD6C5B" w:rsidRDefault="005F6688" w:rsidP="00BD6C5B">
      <w:r w:rsidRPr="00D250C9">
        <w:t>The</w:t>
      </w:r>
      <w:r w:rsidR="00930DA4" w:rsidRPr="00D250C9">
        <w:t xml:space="preserve"> proposed </w:t>
      </w:r>
      <w:r w:rsidR="00C258AE" w:rsidRPr="00D250C9">
        <w:t xml:space="preserve">new </w:t>
      </w:r>
      <w:r w:rsidR="0081582A">
        <w:t xml:space="preserve">draft </w:t>
      </w:r>
      <w:r w:rsidR="00C258AE" w:rsidRPr="00D250C9">
        <w:t xml:space="preserve">Standard </w:t>
      </w:r>
      <w:r w:rsidR="0081582A">
        <w:t>1.1A.8</w:t>
      </w:r>
      <w:r w:rsidR="0081582A" w:rsidRPr="00D250C9">
        <w:rPr>
          <w:sz w:val="20"/>
          <w:szCs w:val="20"/>
        </w:rPr>
        <w:t xml:space="preserve"> – </w:t>
      </w:r>
      <w:r w:rsidR="0081582A" w:rsidRPr="00D250C9">
        <w:rPr>
          <w:szCs w:val="22"/>
        </w:rPr>
        <w:t>Transitional Standard for Dietary Fibre Nutrition Content Claims</w:t>
      </w:r>
      <w:r w:rsidR="0081582A">
        <w:t xml:space="preserve"> </w:t>
      </w:r>
      <w:r w:rsidR="00AF1DDB">
        <w:t>(and subsequently the revised Code</w:t>
      </w:r>
      <w:r w:rsidR="00141F11">
        <w:rPr>
          <w:rStyle w:val="FootnoteReference"/>
        </w:rPr>
        <w:footnoteReference w:id="7"/>
      </w:r>
      <w:r w:rsidR="00AF1DDB">
        <w:t xml:space="preserve">) </w:t>
      </w:r>
      <w:r w:rsidR="00930DA4" w:rsidRPr="00D250C9">
        <w:t>enables food business</w:t>
      </w:r>
      <w:r w:rsidR="00C258AE" w:rsidRPr="00D250C9">
        <w:t xml:space="preserve">es to either comply with </w:t>
      </w:r>
      <w:r w:rsidR="0042377F">
        <w:t xml:space="preserve">clause 11 of </w:t>
      </w:r>
      <w:r w:rsidR="00930DA4" w:rsidRPr="00D250C9">
        <w:t xml:space="preserve">Standard 1.2.7 or </w:t>
      </w:r>
      <w:r w:rsidR="00CD492B">
        <w:t xml:space="preserve">clause 2 of Standard </w:t>
      </w:r>
      <w:r w:rsidR="00F56459">
        <w:t>1.1A.8</w:t>
      </w:r>
      <w:r w:rsidR="00E65AB9">
        <w:t>,</w:t>
      </w:r>
      <w:r w:rsidR="00C258AE" w:rsidRPr="00D250C9">
        <w:t xml:space="preserve"> </w:t>
      </w:r>
      <w:r w:rsidR="00E65AB9">
        <w:rPr>
          <w:rFonts w:cs="Arial"/>
        </w:rPr>
        <w:t>in relation to nutrition content claims about dietary fibre,</w:t>
      </w:r>
      <w:r w:rsidR="00E65AB9" w:rsidRPr="00D250C9">
        <w:t xml:space="preserve"> </w:t>
      </w:r>
      <w:r w:rsidR="00C258AE" w:rsidRPr="00D250C9">
        <w:t xml:space="preserve">from </w:t>
      </w:r>
      <w:r w:rsidR="00BC48C9">
        <w:t xml:space="preserve">and including </w:t>
      </w:r>
      <w:r w:rsidR="00C258AE" w:rsidRPr="00D250C9">
        <w:t xml:space="preserve">18 January 2016 until </w:t>
      </w:r>
      <w:r w:rsidR="00CD0A7C">
        <w:t>and including 17 January 2017</w:t>
      </w:r>
      <w:r w:rsidR="00CD492B">
        <w:t xml:space="preserve">. Clause 2 of Standard </w:t>
      </w:r>
      <w:r w:rsidR="00F56459">
        <w:t>1.1A.8</w:t>
      </w:r>
      <w:r w:rsidR="00C258AE" w:rsidRPr="00D250C9">
        <w:t xml:space="preserve"> permits the use</w:t>
      </w:r>
      <w:r w:rsidR="00930DA4" w:rsidRPr="00D250C9">
        <w:t xml:space="preserve"> </w:t>
      </w:r>
      <w:r w:rsidR="00C258AE" w:rsidRPr="00D250C9">
        <w:t>of any descriptor</w:t>
      </w:r>
      <w:r w:rsidR="000D3B9C" w:rsidRPr="00D250C9">
        <w:t xml:space="preserve"> </w:t>
      </w:r>
      <w:r w:rsidR="00C258AE" w:rsidRPr="00D250C9">
        <w:t xml:space="preserve">for nutrition content claims about dietary fibre including </w:t>
      </w:r>
      <w:r w:rsidR="000D3B9C" w:rsidRPr="00D250C9">
        <w:rPr>
          <w:i/>
        </w:rPr>
        <w:t>source</w:t>
      </w:r>
      <w:r w:rsidR="000D3B9C" w:rsidRPr="00D250C9">
        <w:t xml:space="preserve">, </w:t>
      </w:r>
      <w:r w:rsidR="000D3B9C" w:rsidRPr="00D250C9">
        <w:rPr>
          <w:i/>
        </w:rPr>
        <w:t>good source</w:t>
      </w:r>
      <w:r w:rsidR="000D3B9C" w:rsidRPr="00D250C9">
        <w:t xml:space="preserve">, </w:t>
      </w:r>
      <w:proofErr w:type="gramStart"/>
      <w:r w:rsidR="000D3B9C" w:rsidRPr="00D250C9">
        <w:rPr>
          <w:i/>
        </w:rPr>
        <w:t>excellent</w:t>
      </w:r>
      <w:proofErr w:type="gramEnd"/>
      <w:r w:rsidR="000D3B9C" w:rsidRPr="00D250C9">
        <w:rPr>
          <w:i/>
        </w:rPr>
        <w:t xml:space="preserve"> source</w:t>
      </w:r>
      <w:r w:rsidR="00C258AE" w:rsidRPr="00D250C9">
        <w:rPr>
          <w:i/>
        </w:rPr>
        <w:t xml:space="preserve"> </w:t>
      </w:r>
      <w:r w:rsidR="00C258AE" w:rsidRPr="00D250C9">
        <w:t>and</w:t>
      </w:r>
      <w:r w:rsidR="00C258AE" w:rsidRPr="00D250C9">
        <w:rPr>
          <w:i/>
        </w:rPr>
        <w:t xml:space="preserve"> increased</w:t>
      </w:r>
      <w:r w:rsidR="00C258AE" w:rsidRPr="00D250C9">
        <w:t xml:space="preserve"> without needing to comply with </w:t>
      </w:r>
      <w:r w:rsidR="009267EE">
        <w:t xml:space="preserve">the </w:t>
      </w:r>
      <w:r w:rsidR="00C258AE" w:rsidRPr="00D250C9">
        <w:t>qualifying criteria</w:t>
      </w:r>
      <w:r w:rsidR="009267EE">
        <w:t xml:space="preserve"> </w:t>
      </w:r>
      <w:r w:rsidR="009267EE" w:rsidRPr="00D250C9">
        <w:t>in Standard 1.2.7</w:t>
      </w:r>
      <w:r w:rsidR="00BD6C5B">
        <w:t xml:space="preserve">. </w:t>
      </w:r>
      <w:r w:rsidR="00BD6C5B">
        <w:br w:type="page"/>
      </w:r>
    </w:p>
    <w:p w:rsidR="000D3B9C" w:rsidRDefault="00CD1FCC" w:rsidP="00DD3C5E">
      <w:r>
        <w:lastRenderedPageBreak/>
        <w:t xml:space="preserve">Food </w:t>
      </w:r>
      <w:r w:rsidR="00C258AE" w:rsidRPr="00D250C9">
        <w:t xml:space="preserve">businesses will need to comply with all other requirements in </w:t>
      </w:r>
      <w:proofErr w:type="gramStart"/>
      <w:r w:rsidR="00C258AE" w:rsidRPr="00D250C9">
        <w:t>Standard</w:t>
      </w:r>
      <w:proofErr w:type="gramEnd"/>
      <w:r w:rsidR="00C258AE" w:rsidRPr="00D250C9">
        <w:t xml:space="preserve"> 1.2.7 from</w:t>
      </w:r>
      <w:r w:rsidR="00235CA4" w:rsidRPr="00D250C9">
        <w:t xml:space="preserve"> </w:t>
      </w:r>
      <w:r w:rsidR="00292560">
        <w:t xml:space="preserve">and including </w:t>
      </w:r>
      <w:r w:rsidR="00235CA4" w:rsidRPr="00D250C9">
        <w:t>18 January 2016, including provisions for general level health claims about dietary fibre.</w:t>
      </w:r>
      <w:r w:rsidR="00C258AE">
        <w:t xml:space="preserve"> </w:t>
      </w:r>
      <w:r w:rsidR="0081582A">
        <w:t xml:space="preserve">Note that subclause 2(2) of draft Standard 1.1A.8 includes the requirement for foods with </w:t>
      </w:r>
      <w:r w:rsidR="0081582A" w:rsidRPr="0081582A">
        <w:rPr>
          <w:i/>
        </w:rPr>
        <w:t>increased</w:t>
      </w:r>
      <w:r w:rsidR="0081582A">
        <w:t xml:space="preserve"> claims about dietary fibre to contain at least 25% more dietary fibre than in the same quantity of reference food</w:t>
      </w:r>
      <w:r w:rsidR="00CD0A09">
        <w:t>.</w:t>
      </w:r>
      <w:r w:rsidR="0081582A">
        <w:t xml:space="preserve"> This is included </w:t>
      </w:r>
      <w:r w:rsidR="00CD0A09">
        <w:t xml:space="preserve">in Standard 1.1A.8 </w:t>
      </w:r>
      <w:r w:rsidR="0081582A">
        <w:t xml:space="preserve">because this </w:t>
      </w:r>
      <w:r w:rsidR="00CD0A09">
        <w:t>provision</w:t>
      </w:r>
      <w:r w:rsidR="0081582A">
        <w:t xml:space="preserve"> is in Schedule 1 of Standard 1.2.7 </w:t>
      </w:r>
      <w:r w:rsidR="00CB479E">
        <w:t>but</w:t>
      </w:r>
      <w:r w:rsidR="0081582A">
        <w:t xml:space="preserve"> is not </w:t>
      </w:r>
      <w:r>
        <w:t xml:space="preserve">part of qualifying criteria for </w:t>
      </w:r>
      <w:r w:rsidR="0081582A">
        <w:t>nutrition</w:t>
      </w:r>
      <w:r>
        <w:t xml:space="preserve"> content claims about dietary fibre</w:t>
      </w:r>
      <w:r w:rsidR="00CB479E">
        <w:t>, for which the delay in the requirement for compliance is sought</w:t>
      </w:r>
      <w:r w:rsidR="006C21EB">
        <w:t xml:space="preserve">. </w:t>
      </w:r>
    </w:p>
    <w:p w:rsidR="003D43F8" w:rsidRPr="00932F14" w:rsidRDefault="003F4593" w:rsidP="003D43F8">
      <w:pPr>
        <w:pStyle w:val="Heading2"/>
      </w:pPr>
      <w:bookmarkStart w:id="49" w:name="_Toc414615579"/>
      <w:bookmarkStart w:id="50" w:name="_Toc300933435"/>
      <w:r>
        <w:t>2.5</w:t>
      </w:r>
      <w:r w:rsidR="003D43F8">
        <w:tab/>
        <w:t>Risk communication</w:t>
      </w:r>
      <w:bookmarkEnd w:id="49"/>
      <w:r w:rsidR="003D43F8">
        <w:t xml:space="preserve"> </w:t>
      </w:r>
    </w:p>
    <w:p w:rsidR="003D43F8" w:rsidRPr="003B6FE5" w:rsidRDefault="003F4593" w:rsidP="003D43F8">
      <w:pPr>
        <w:pStyle w:val="Heading3"/>
        <w:rPr>
          <w:color w:val="auto"/>
        </w:rPr>
      </w:pPr>
      <w:r>
        <w:rPr>
          <w:color w:val="auto"/>
        </w:rPr>
        <w:t>2.5</w:t>
      </w:r>
      <w:r w:rsidR="003D43F8" w:rsidRPr="003B6FE5">
        <w:rPr>
          <w:color w:val="auto"/>
        </w:rPr>
        <w:t>.1</w:t>
      </w:r>
      <w:r w:rsidR="003D43F8" w:rsidRPr="003B6FE5">
        <w:rPr>
          <w:color w:val="auto"/>
        </w:rPr>
        <w:tab/>
        <w:t>Consultation</w:t>
      </w:r>
    </w:p>
    <w:p w:rsidR="003D43F8" w:rsidRDefault="003D43F8" w:rsidP="003D43F8">
      <w:pPr>
        <w:rPr>
          <w:szCs w:val="22"/>
        </w:rPr>
      </w:pPr>
      <w:r w:rsidRPr="0027513D">
        <w:rPr>
          <w:szCs w:val="22"/>
        </w:rPr>
        <w:t xml:space="preserve">Consultation is a key part of FSANZ’s standards development process. </w:t>
      </w:r>
    </w:p>
    <w:p w:rsidR="003D43F8" w:rsidRPr="002D52F6" w:rsidRDefault="003D43F8" w:rsidP="003D43F8">
      <w:pPr>
        <w:rPr>
          <w:szCs w:val="22"/>
        </w:rPr>
      </w:pPr>
    </w:p>
    <w:p w:rsidR="003D43F8" w:rsidRPr="00056156" w:rsidRDefault="003D43F8" w:rsidP="003D43F8">
      <w:pPr>
        <w:rPr>
          <w:szCs w:val="22"/>
        </w:rPr>
      </w:pPr>
      <w:r w:rsidRPr="002D52F6">
        <w:rPr>
          <w:szCs w:val="22"/>
        </w:rPr>
        <w:t xml:space="preserve">FSANZ acknowledges the time taken by individuals and organisations to make submissions on </w:t>
      </w:r>
      <w:r w:rsidR="00BF2A53">
        <w:rPr>
          <w:szCs w:val="22"/>
        </w:rPr>
        <w:t xml:space="preserve">the Consultation paper for </w:t>
      </w:r>
      <w:r w:rsidRPr="002D52F6">
        <w:rPr>
          <w:szCs w:val="22"/>
        </w:rPr>
        <w:t>this Application</w:t>
      </w:r>
      <w:r>
        <w:rPr>
          <w:szCs w:val="22"/>
        </w:rPr>
        <w:t xml:space="preserve">. Ten submissions were received in response to the consultation paper released for public comment on 23 October 2014. Information and comments provided by </w:t>
      </w:r>
      <w:r w:rsidRPr="00056156">
        <w:rPr>
          <w:szCs w:val="22"/>
        </w:rPr>
        <w:t xml:space="preserve">submitters have informed the assessment of the </w:t>
      </w:r>
      <w:r w:rsidRPr="00616EC4">
        <w:rPr>
          <w:szCs w:val="22"/>
        </w:rPr>
        <w:t>Application (see section</w:t>
      </w:r>
      <w:r w:rsidR="00616EC4" w:rsidRPr="00616EC4">
        <w:rPr>
          <w:szCs w:val="22"/>
        </w:rPr>
        <w:t>s</w:t>
      </w:r>
      <w:r w:rsidRPr="00616EC4">
        <w:rPr>
          <w:szCs w:val="22"/>
        </w:rPr>
        <w:t xml:space="preserve"> 2.1</w:t>
      </w:r>
      <w:r w:rsidR="00616EC4" w:rsidRPr="00616EC4">
        <w:rPr>
          <w:szCs w:val="22"/>
        </w:rPr>
        <w:t xml:space="preserve"> and 2.3</w:t>
      </w:r>
      <w:r w:rsidRPr="00616EC4">
        <w:rPr>
          <w:szCs w:val="22"/>
        </w:rPr>
        <w:t>).</w:t>
      </w:r>
    </w:p>
    <w:p w:rsidR="003D43F8" w:rsidRPr="00056156" w:rsidRDefault="003D43F8" w:rsidP="003D43F8">
      <w:pPr>
        <w:rPr>
          <w:szCs w:val="22"/>
        </w:rPr>
      </w:pPr>
    </w:p>
    <w:p w:rsidR="003D43F8" w:rsidRPr="00F76061" w:rsidRDefault="003D43F8" w:rsidP="003D43F8">
      <w:pPr>
        <w:rPr>
          <w:szCs w:val="22"/>
        </w:rPr>
      </w:pPr>
      <w:r w:rsidRPr="00F76061">
        <w:rPr>
          <w:szCs w:val="22"/>
        </w:rPr>
        <w:t xml:space="preserve">The process by which FSANZ considers standard development matters is open, accountable, consultative and transparent. Public submissions are called to obtain the views of interested parties on issues raised by this </w:t>
      </w:r>
      <w:r>
        <w:rPr>
          <w:szCs w:val="22"/>
        </w:rPr>
        <w:t>Application</w:t>
      </w:r>
      <w:r w:rsidRPr="00F76061">
        <w:rPr>
          <w:szCs w:val="22"/>
        </w:rPr>
        <w:t xml:space="preserve"> and the effects of regulatory options. Every submission is reviewed by FSANZ staff, </w:t>
      </w:r>
      <w:proofErr w:type="gramStart"/>
      <w:r w:rsidRPr="00F76061">
        <w:rPr>
          <w:szCs w:val="22"/>
        </w:rPr>
        <w:t>who</w:t>
      </w:r>
      <w:proofErr w:type="gramEnd"/>
      <w:r w:rsidRPr="00F76061">
        <w:rPr>
          <w:szCs w:val="22"/>
        </w:rPr>
        <w:t xml:space="preserve"> examine the issues identified and prepare a response to those issues. </w:t>
      </w:r>
    </w:p>
    <w:p w:rsidR="003D43F8" w:rsidRPr="00F76061" w:rsidRDefault="003D43F8" w:rsidP="003D43F8">
      <w:pPr>
        <w:rPr>
          <w:szCs w:val="22"/>
        </w:rPr>
      </w:pPr>
    </w:p>
    <w:p w:rsidR="003D43F8" w:rsidRPr="00F76061" w:rsidRDefault="003D43F8" w:rsidP="003D43F8">
      <w:pPr>
        <w:rPr>
          <w:szCs w:val="22"/>
        </w:rPr>
      </w:pPr>
      <w:r w:rsidRPr="00F76061">
        <w:rPr>
          <w:szCs w:val="22"/>
        </w:rPr>
        <w:t xml:space="preserve">FSANZ develops communication plans to ensure stakeholders are aware of proposed changes to the Code. All calls for submissions are notified via the FSANZ Notification Circular, media release, FSANZ’s social media tools and Food Standards News. </w:t>
      </w:r>
    </w:p>
    <w:p w:rsidR="003D43F8" w:rsidRPr="00F76061" w:rsidRDefault="003D43F8" w:rsidP="003D43F8">
      <w:pPr>
        <w:rPr>
          <w:szCs w:val="22"/>
        </w:rPr>
      </w:pPr>
    </w:p>
    <w:p w:rsidR="003D43F8" w:rsidRPr="00F76061" w:rsidRDefault="003D43F8" w:rsidP="003D43F8">
      <w:pPr>
        <w:rPr>
          <w:szCs w:val="22"/>
        </w:rPr>
      </w:pPr>
      <w:r w:rsidRPr="00F76061">
        <w:rPr>
          <w:szCs w:val="22"/>
        </w:rPr>
        <w:t>The draft variation</w:t>
      </w:r>
      <w:r w:rsidR="007E0100">
        <w:rPr>
          <w:szCs w:val="22"/>
        </w:rPr>
        <w:t>s</w:t>
      </w:r>
      <w:r w:rsidRPr="00F76061">
        <w:rPr>
          <w:szCs w:val="22"/>
        </w:rPr>
        <w:t xml:space="preserve"> will be considered for approval by the FSANZ Board taking into account comments received </w:t>
      </w:r>
      <w:r>
        <w:rPr>
          <w:szCs w:val="22"/>
        </w:rPr>
        <w:t xml:space="preserve">following </w:t>
      </w:r>
      <w:r w:rsidRPr="00F76061">
        <w:rPr>
          <w:szCs w:val="22"/>
        </w:rPr>
        <w:t xml:space="preserve">this call for submissions. Anyone who is an interested party or who makes a submission will be notified at each stage of the assessment. </w:t>
      </w:r>
    </w:p>
    <w:p w:rsidR="003D43F8" w:rsidRPr="00F76061" w:rsidRDefault="003D43F8" w:rsidP="003D43F8">
      <w:pPr>
        <w:rPr>
          <w:szCs w:val="22"/>
        </w:rPr>
      </w:pPr>
    </w:p>
    <w:p w:rsidR="003D43F8" w:rsidRDefault="003D43F8" w:rsidP="003D43F8">
      <w:pPr>
        <w:rPr>
          <w:szCs w:val="22"/>
        </w:rPr>
      </w:pPr>
      <w:r w:rsidRPr="00F76061">
        <w:rPr>
          <w:szCs w:val="22"/>
        </w:rPr>
        <w:t>If the draft variation</w:t>
      </w:r>
      <w:r w:rsidR="007E0100">
        <w:rPr>
          <w:szCs w:val="22"/>
        </w:rPr>
        <w:t>s</w:t>
      </w:r>
      <w:r w:rsidRPr="00F76061">
        <w:rPr>
          <w:szCs w:val="22"/>
        </w:rPr>
        <w:t xml:space="preserve"> to the Code </w:t>
      </w:r>
      <w:r w:rsidR="0068191E">
        <w:rPr>
          <w:szCs w:val="22"/>
        </w:rPr>
        <w:t>are</w:t>
      </w:r>
      <w:r w:rsidR="0068191E" w:rsidRPr="00F76061">
        <w:rPr>
          <w:szCs w:val="22"/>
        </w:rPr>
        <w:t xml:space="preserve"> </w:t>
      </w:r>
      <w:r w:rsidRPr="00F76061">
        <w:rPr>
          <w:szCs w:val="22"/>
        </w:rPr>
        <w:t>approved by the FSANZ Board, that decision will be notified to the Australia and New Zealand Ministerial Forum on Food Regulation. If the decision is not subject to a request for a review, stakeholders will be notified of the gazettal of the variation to the Code in the national press and on the FSANZ website.</w:t>
      </w:r>
    </w:p>
    <w:p w:rsidR="00C5517E" w:rsidRDefault="00C5517E" w:rsidP="003D43F8">
      <w:pPr>
        <w:rPr>
          <w:szCs w:val="22"/>
        </w:rPr>
      </w:pPr>
    </w:p>
    <w:p w:rsidR="00C5517E" w:rsidRDefault="00C5517E" w:rsidP="003D43F8">
      <w:pPr>
        <w:rPr>
          <w:szCs w:val="22"/>
        </w:rPr>
      </w:pPr>
      <w:r w:rsidRPr="00C5517E">
        <w:rPr>
          <w:szCs w:val="22"/>
        </w:rPr>
        <w:t xml:space="preserve">FSANZ will consider if there is a need to provide any information to consumers if the </w:t>
      </w:r>
      <w:r w:rsidR="00161AC0">
        <w:rPr>
          <w:szCs w:val="22"/>
        </w:rPr>
        <w:t>draft variation</w:t>
      </w:r>
      <w:r w:rsidR="007E0100">
        <w:rPr>
          <w:szCs w:val="22"/>
        </w:rPr>
        <w:t>s</w:t>
      </w:r>
      <w:r w:rsidR="00161AC0">
        <w:rPr>
          <w:szCs w:val="22"/>
        </w:rPr>
        <w:t xml:space="preserve"> to the Code </w:t>
      </w:r>
      <w:r w:rsidR="0068191E">
        <w:rPr>
          <w:szCs w:val="22"/>
        </w:rPr>
        <w:t>are</w:t>
      </w:r>
      <w:r w:rsidR="00161AC0">
        <w:rPr>
          <w:szCs w:val="22"/>
        </w:rPr>
        <w:t xml:space="preserve"> approved and the </w:t>
      </w:r>
      <w:r w:rsidR="006C21EB">
        <w:rPr>
          <w:szCs w:val="22"/>
        </w:rPr>
        <w:t>requirement to comply with the qualifying criteria about nutrition content claims about dietary fibre</w:t>
      </w:r>
      <w:r w:rsidR="005A60FE">
        <w:rPr>
          <w:rFonts w:cs="Arial"/>
        </w:rPr>
        <w:t>,</w:t>
      </w:r>
      <w:r w:rsidR="00694D95">
        <w:rPr>
          <w:szCs w:val="22"/>
        </w:rPr>
        <w:t xml:space="preserve"> </w:t>
      </w:r>
      <w:r w:rsidR="00161AC0">
        <w:rPr>
          <w:szCs w:val="22"/>
        </w:rPr>
        <w:t>is delayed as proposed</w:t>
      </w:r>
      <w:r w:rsidRPr="00C5517E">
        <w:rPr>
          <w:szCs w:val="22"/>
        </w:rPr>
        <w:t>.</w:t>
      </w:r>
    </w:p>
    <w:p w:rsidR="003D43F8" w:rsidRPr="00022DBC" w:rsidRDefault="003D43F8" w:rsidP="003D43F8">
      <w:pPr>
        <w:pStyle w:val="Heading3"/>
      </w:pPr>
      <w:r w:rsidRPr="00022DBC">
        <w:t>2.</w:t>
      </w:r>
      <w:r w:rsidR="003F4593">
        <w:t>5</w:t>
      </w:r>
      <w:r w:rsidRPr="00022DBC">
        <w:t>.2</w:t>
      </w:r>
      <w:r w:rsidRPr="00022DBC">
        <w:tab/>
        <w:t>World Trade Organization (WTO)</w:t>
      </w:r>
    </w:p>
    <w:p w:rsidR="003D43F8" w:rsidRPr="002D52F6" w:rsidRDefault="003D43F8" w:rsidP="003D43F8">
      <w:pPr>
        <w:rPr>
          <w:rFonts w:cs="Arial"/>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w:t>
      </w:r>
      <w:r w:rsidRPr="002D52F6">
        <w:rPr>
          <w:rFonts w:cs="Arial"/>
        </w:rPr>
        <w:t>may have a significant effect on trade.</w:t>
      </w:r>
    </w:p>
    <w:p w:rsidR="003D43F8" w:rsidRPr="002D52F6" w:rsidRDefault="003D43F8" w:rsidP="003D43F8">
      <w:pPr>
        <w:tabs>
          <w:tab w:val="left" w:pos="1560"/>
        </w:tabs>
      </w:pPr>
    </w:p>
    <w:p w:rsidR="0052439D" w:rsidRDefault="003D43F8" w:rsidP="003D43F8">
      <w:pPr>
        <w:tabs>
          <w:tab w:val="left" w:pos="1560"/>
        </w:tabs>
        <w:rPr>
          <w:rFonts w:cs="Arial"/>
        </w:rPr>
      </w:pPr>
      <w:r w:rsidRPr="002D52F6">
        <w:rPr>
          <w:rFonts w:cs="Arial"/>
        </w:rPr>
        <w:t xml:space="preserve">There are not </w:t>
      </w:r>
      <w:r w:rsidRPr="00DC6570">
        <w:rPr>
          <w:rFonts w:cs="Arial"/>
        </w:rPr>
        <w:t>any relevant international standards</w:t>
      </w:r>
      <w:r w:rsidR="00D95C92">
        <w:rPr>
          <w:rFonts w:cs="Arial"/>
        </w:rPr>
        <w:t>. A</w:t>
      </w:r>
      <w:r w:rsidRPr="00DC6570">
        <w:rPr>
          <w:rFonts w:cs="Arial"/>
        </w:rPr>
        <w:t>mending the Code to</w:t>
      </w:r>
      <w:r>
        <w:rPr>
          <w:rFonts w:cs="Arial"/>
        </w:rPr>
        <w:t xml:space="preserve"> delay the </w:t>
      </w:r>
      <w:r w:rsidR="003A5828">
        <w:rPr>
          <w:szCs w:val="22"/>
        </w:rPr>
        <w:t xml:space="preserve">requirement to comply with the qualifying criteria </w:t>
      </w:r>
      <w:r w:rsidR="003A5828">
        <w:rPr>
          <w:rFonts w:cs="Arial"/>
        </w:rPr>
        <w:t>for</w:t>
      </w:r>
      <w:r w:rsidR="00694D95">
        <w:rPr>
          <w:rFonts w:cs="Arial"/>
        </w:rPr>
        <w:t xml:space="preserve"> </w:t>
      </w:r>
      <w:r>
        <w:rPr>
          <w:rFonts w:cs="Arial"/>
        </w:rPr>
        <w:t>nutrition content claims about dietary fibre</w:t>
      </w:r>
      <w:r w:rsidRPr="00DC6570">
        <w:rPr>
          <w:rFonts w:cs="Arial"/>
        </w:rPr>
        <w:t xml:space="preserve"> is unlikely to have a significant </w:t>
      </w:r>
      <w:r>
        <w:rPr>
          <w:rFonts w:cs="Arial"/>
        </w:rPr>
        <w:t>effect on international trade as</w:t>
      </w:r>
      <w:r w:rsidR="00051BD7">
        <w:rPr>
          <w:rFonts w:cs="Arial"/>
        </w:rPr>
        <w:t xml:space="preserve"> food businesses will be able to continue </w:t>
      </w:r>
      <w:r w:rsidR="00D95C92">
        <w:rPr>
          <w:rFonts w:cs="Arial"/>
        </w:rPr>
        <w:t>with current claims for another 12 months.</w:t>
      </w:r>
      <w:r>
        <w:rPr>
          <w:rFonts w:cs="Arial"/>
        </w:rPr>
        <w:t xml:space="preserve"> </w:t>
      </w:r>
      <w:r w:rsidR="0052439D">
        <w:rPr>
          <w:rFonts w:cs="Arial"/>
        </w:rPr>
        <w:br w:type="page"/>
      </w:r>
    </w:p>
    <w:p w:rsidR="003D43F8" w:rsidRPr="002D52F6" w:rsidRDefault="003D43F8" w:rsidP="003D43F8">
      <w:pPr>
        <w:tabs>
          <w:tab w:val="left" w:pos="1560"/>
        </w:tabs>
        <w:rPr>
          <w:rFonts w:cs="Arial"/>
          <w:iCs/>
        </w:rPr>
      </w:pPr>
      <w:r w:rsidRPr="002D52F6">
        <w:rPr>
          <w:rFonts w:cs="Arial"/>
          <w:iCs/>
        </w:rPr>
        <w:lastRenderedPageBreak/>
        <w:t xml:space="preserve">Therefore, a notification to the WTO under </w:t>
      </w:r>
      <w:r w:rsidRPr="002D52F6">
        <w:rPr>
          <w:rFonts w:cs="Arial"/>
        </w:rPr>
        <w:t>Australia’s and New Zealand’s</w:t>
      </w:r>
      <w:r w:rsidRPr="002D52F6">
        <w:rPr>
          <w:rFonts w:cs="Arial"/>
          <w:iCs/>
        </w:rPr>
        <w:t xml:space="preserve"> obligations under the WTO Technical Barriers to Trade was not considered necessary.</w:t>
      </w:r>
    </w:p>
    <w:p w:rsidR="003D43F8" w:rsidRPr="000363D2" w:rsidRDefault="003F4593" w:rsidP="006D7F0A">
      <w:pPr>
        <w:pStyle w:val="Heading2"/>
      </w:pPr>
      <w:bookmarkStart w:id="51" w:name="_Toc414615580"/>
      <w:bookmarkEnd w:id="50"/>
      <w:r>
        <w:t>2.6</w:t>
      </w:r>
      <w:r w:rsidR="003D43F8" w:rsidRPr="000363D2">
        <w:tab/>
        <w:t>FSANZ Act assessment requirements</w:t>
      </w:r>
      <w:bookmarkEnd w:id="51"/>
    </w:p>
    <w:p w:rsidR="003D43F8" w:rsidRPr="000363D2" w:rsidRDefault="003D43F8" w:rsidP="003D43F8">
      <w:r w:rsidRPr="000363D2">
        <w:t xml:space="preserve">When assessing this Application and the subsequent development of </w:t>
      </w:r>
      <w:r w:rsidR="009267EE">
        <w:t>the</w:t>
      </w:r>
      <w:r w:rsidR="007D3641">
        <w:t xml:space="preserve"> two</w:t>
      </w:r>
      <w:r w:rsidR="009267EE" w:rsidRPr="000363D2">
        <w:t xml:space="preserve"> </w:t>
      </w:r>
      <w:r w:rsidRPr="000363D2">
        <w:t>food regulatory measure</w:t>
      </w:r>
      <w:r w:rsidR="009267EE">
        <w:t>s</w:t>
      </w:r>
      <w:r w:rsidRPr="000363D2">
        <w:t xml:space="preserve">, FSANZ has had regard to the </w:t>
      </w:r>
      <w:r w:rsidRPr="000363D2" w:rsidDel="00932F14">
        <w:t xml:space="preserve">following </w:t>
      </w:r>
      <w:r w:rsidRPr="000363D2">
        <w:t>matters in section 29 of the FSANZ Act:</w:t>
      </w:r>
    </w:p>
    <w:p w:rsidR="003D43F8" w:rsidRPr="000363D2" w:rsidRDefault="003F4593" w:rsidP="006D7F0A">
      <w:pPr>
        <w:pStyle w:val="Heading3"/>
      </w:pPr>
      <w:r>
        <w:t>2.6</w:t>
      </w:r>
      <w:r w:rsidR="003D43F8" w:rsidRPr="000363D2">
        <w:t>.1</w:t>
      </w:r>
      <w:r w:rsidR="003D43F8" w:rsidRPr="000363D2">
        <w:tab/>
        <w:t>Section 29</w:t>
      </w:r>
    </w:p>
    <w:p w:rsidR="003D43F8" w:rsidRPr="000363D2" w:rsidRDefault="003F4593" w:rsidP="006D7F0A">
      <w:pPr>
        <w:pStyle w:val="Heading4"/>
      </w:pPr>
      <w:r>
        <w:t>2.6</w:t>
      </w:r>
      <w:r w:rsidR="003D43F8" w:rsidRPr="000363D2">
        <w:t>.1.1</w:t>
      </w:r>
      <w:r w:rsidR="003D43F8" w:rsidRPr="000363D2">
        <w:tab/>
        <w:t>Cost benefit analysis</w:t>
      </w:r>
    </w:p>
    <w:p w:rsidR="007F2213" w:rsidRDefault="007F2213" w:rsidP="006C5C7F">
      <w:pPr>
        <w:rPr>
          <w:bCs/>
          <w:iCs/>
        </w:rPr>
      </w:pPr>
      <w:r>
        <w:rPr>
          <w:bCs/>
          <w:iCs/>
        </w:rPr>
        <w:t xml:space="preserve">Refer </w:t>
      </w:r>
      <w:r w:rsidRPr="00616EC4">
        <w:rPr>
          <w:bCs/>
          <w:iCs/>
        </w:rPr>
        <w:t>to Section 2.3 for</w:t>
      </w:r>
      <w:r>
        <w:rPr>
          <w:bCs/>
          <w:iCs/>
        </w:rPr>
        <w:t xml:space="preserve"> a discussion of costs and benefits. </w:t>
      </w:r>
    </w:p>
    <w:p w:rsidR="007F2213" w:rsidRDefault="007F2213" w:rsidP="006C5C7F">
      <w:pPr>
        <w:rPr>
          <w:bCs/>
          <w:iCs/>
        </w:rPr>
      </w:pPr>
    </w:p>
    <w:p w:rsidR="006C5C7F" w:rsidRDefault="007D3641" w:rsidP="006C5C7F">
      <w:r>
        <w:t xml:space="preserve">The available evidence suggests that a </w:t>
      </w:r>
      <w:r w:rsidR="006C5C7F" w:rsidRPr="00A224C4">
        <w:rPr>
          <w:lang w:bidi="ar-SA"/>
        </w:rPr>
        <w:t xml:space="preserve">delay </w:t>
      </w:r>
      <w:r w:rsidR="006C5C7F">
        <w:rPr>
          <w:lang w:bidi="ar-SA"/>
        </w:rPr>
        <w:t xml:space="preserve">in </w:t>
      </w:r>
      <w:r w:rsidR="006C5C7F" w:rsidRPr="00A224C4">
        <w:rPr>
          <w:lang w:bidi="ar-SA"/>
        </w:rPr>
        <w:t xml:space="preserve">the </w:t>
      </w:r>
      <w:r w:rsidR="00400E21">
        <w:rPr>
          <w:lang w:bidi="ar-SA"/>
        </w:rPr>
        <w:t xml:space="preserve">requirement to comply </w:t>
      </w:r>
      <w:r w:rsidR="003A5828">
        <w:rPr>
          <w:lang w:bidi="ar-SA"/>
        </w:rPr>
        <w:t xml:space="preserve">with </w:t>
      </w:r>
      <w:r w:rsidR="003A5828">
        <w:rPr>
          <w:szCs w:val="22"/>
        </w:rPr>
        <w:t xml:space="preserve">the qualifying criteria </w:t>
      </w:r>
      <w:r w:rsidR="003A5828">
        <w:rPr>
          <w:rFonts w:cs="Arial"/>
        </w:rPr>
        <w:t>for nutrition content claims about dietary fibre</w:t>
      </w:r>
      <w:r w:rsidR="003A5828">
        <w:rPr>
          <w:szCs w:val="22"/>
        </w:rPr>
        <w:t xml:space="preserve"> </w:t>
      </w:r>
      <w:r w:rsidR="00271863">
        <w:rPr>
          <w:lang w:bidi="ar-SA"/>
        </w:rPr>
        <w:t xml:space="preserve">in Standard 1.2.7 </w:t>
      </w:r>
      <w:r w:rsidR="006C5C7F" w:rsidRPr="00A224C4">
        <w:rPr>
          <w:lang w:bidi="ar-SA"/>
        </w:rPr>
        <w:t xml:space="preserve">for 12 months, </w:t>
      </w:r>
      <w:r w:rsidR="003A5828" w:rsidRPr="00A224C4">
        <w:rPr>
          <w:lang w:bidi="ar-SA"/>
        </w:rPr>
        <w:t xml:space="preserve">from </w:t>
      </w:r>
      <w:r w:rsidR="003A5828">
        <w:rPr>
          <w:lang w:bidi="ar-SA"/>
        </w:rPr>
        <w:t xml:space="preserve">and including </w:t>
      </w:r>
      <w:r w:rsidR="003A5828" w:rsidRPr="00A224C4">
        <w:rPr>
          <w:lang w:bidi="ar-SA"/>
        </w:rPr>
        <w:t>18 January 2016</w:t>
      </w:r>
      <w:r w:rsidR="008F63D7">
        <w:rPr>
          <w:lang w:bidi="ar-SA"/>
        </w:rPr>
        <w:t>,</w:t>
      </w:r>
      <w:r w:rsidR="003A5828">
        <w:rPr>
          <w:lang w:bidi="ar-SA"/>
        </w:rPr>
        <w:t xml:space="preserve"> </w:t>
      </w:r>
      <w:r w:rsidR="005D3A34">
        <w:rPr>
          <w:lang w:bidi="ar-SA"/>
        </w:rPr>
        <w:t>until and including 17</w:t>
      </w:r>
      <w:r w:rsidR="006C5C7F" w:rsidRPr="00A224C4">
        <w:rPr>
          <w:lang w:bidi="ar-SA"/>
        </w:rPr>
        <w:t xml:space="preserve"> January 2017</w:t>
      </w:r>
      <w:r w:rsidR="003A5828">
        <w:rPr>
          <w:lang w:bidi="ar-SA"/>
        </w:rPr>
        <w:t>,</w:t>
      </w:r>
      <w:r w:rsidR="006C5C7F">
        <w:t xml:space="preserve"> is likely to </w:t>
      </w:r>
      <w:r w:rsidR="00C00DDC">
        <w:t>be the most cost</w:t>
      </w:r>
      <w:r w:rsidR="008F63D7">
        <w:t>-</w:t>
      </w:r>
      <w:r w:rsidR="00C00DDC">
        <w:t>effective re</w:t>
      </w:r>
      <w:r w:rsidR="00BC057E">
        <w:t>sponse</w:t>
      </w:r>
      <w:r w:rsidR="00B75F2D">
        <w:t xml:space="preserve">. This determination is </w:t>
      </w:r>
      <w:r w:rsidR="00C318C2">
        <w:t>based mainly on</w:t>
      </w:r>
      <w:r w:rsidR="006C5C7F">
        <w:t xml:space="preserve"> qualitative analysis. </w:t>
      </w:r>
    </w:p>
    <w:p w:rsidR="00BF2A53" w:rsidRDefault="00BF2A53" w:rsidP="006C5C7F"/>
    <w:p w:rsidR="003D43F8" w:rsidRDefault="003D43F8" w:rsidP="003D43F8">
      <w:r w:rsidRPr="000363D2">
        <w:t xml:space="preserve">FSANZ has clarified the regulation impact requirements for the Application with the Office of Best Practice Regulation (OBPR). The OBPR’s advice is that a regulation impact statement is not required </w:t>
      </w:r>
      <w:r w:rsidR="002C5613">
        <w:t>as suggested changes</w:t>
      </w:r>
      <w:r w:rsidR="002C5613" w:rsidRPr="005313F6">
        <w:t xml:space="preserve"> are considered as minor, machinery and deregulatory in nature </w:t>
      </w:r>
      <w:r w:rsidRPr="000363D2">
        <w:t>(OBPR ID: 17599).</w:t>
      </w:r>
    </w:p>
    <w:p w:rsidR="00C00DDC" w:rsidRPr="000363D2" w:rsidRDefault="00C00DDC" w:rsidP="003D43F8"/>
    <w:p w:rsidR="003D43F8" w:rsidRPr="000363D2" w:rsidRDefault="003D43F8" w:rsidP="003D43F8">
      <w:pPr>
        <w:rPr>
          <w:bCs/>
          <w:iCs/>
        </w:rPr>
      </w:pPr>
      <w:r w:rsidRPr="000363D2">
        <w:rPr>
          <w:bCs/>
          <w:iCs/>
        </w:rPr>
        <w:t>Affected parties include the following:</w:t>
      </w:r>
    </w:p>
    <w:p w:rsidR="003D43F8" w:rsidRPr="000363D2" w:rsidRDefault="003D43F8" w:rsidP="003D43F8">
      <w:pPr>
        <w:rPr>
          <w:bCs/>
          <w:iCs/>
        </w:rPr>
      </w:pPr>
    </w:p>
    <w:p w:rsidR="003D43F8" w:rsidRPr="00EF35A5" w:rsidRDefault="003D43F8" w:rsidP="003D43F8">
      <w:pPr>
        <w:rPr>
          <w:bCs/>
          <w:iCs/>
        </w:rPr>
      </w:pPr>
      <w:r w:rsidRPr="00EF35A5">
        <w:rPr>
          <w:b/>
          <w:bCs/>
          <w:iCs/>
        </w:rPr>
        <w:t>Industry:</w:t>
      </w:r>
      <w:r w:rsidRPr="00EF35A5">
        <w:rPr>
          <w:bCs/>
          <w:iCs/>
        </w:rPr>
        <w:t xml:space="preserve"> The </w:t>
      </w:r>
      <w:r w:rsidR="009267EE">
        <w:rPr>
          <w:bCs/>
          <w:iCs/>
        </w:rPr>
        <w:t xml:space="preserve">proposed </w:t>
      </w:r>
      <w:r w:rsidR="009267EE" w:rsidRPr="000363D2">
        <w:t>food regulatory measure</w:t>
      </w:r>
      <w:r w:rsidR="009267EE">
        <w:t>s</w:t>
      </w:r>
      <w:r w:rsidR="009267EE" w:rsidRPr="00EF35A5" w:rsidDel="009267EE">
        <w:rPr>
          <w:bCs/>
          <w:iCs/>
        </w:rPr>
        <w:t xml:space="preserve"> </w:t>
      </w:r>
      <w:r w:rsidRPr="00EF35A5">
        <w:rPr>
          <w:bCs/>
          <w:iCs/>
        </w:rPr>
        <w:t xml:space="preserve">will benefit </w:t>
      </w:r>
      <w:r w:rsidR="00461367">
        <w:rPr>
          <w:bCs/>
          <w:iCs/>
        </w:rPr>
        <w:t>food businesses as they</w:t>
      </w:r>
      <w:r w:rsidR="00EF35A5" w:rsidRPr="00EF35A5">
        <w:rPr>
          <w:bCs/>
          <w:iCs/>
        </w:rPr>
        <w:t xml:space="preserve"> will </w:t>
      </w:r>
      <w:r w:rsidR="00B979EC">
        <w:rPr>
          <w:bCs/>
          <w:iCs/>
        </w:rPr>
        <w:t>minimise</w:t>
      </w:r>
      <w:r w:rsidR="00EF35A5" w:rsidRPr="00EF35A5">
        <w:rPr>
          <w:bCs/>
          <w:iCs/>
        </w:rPr>
        <w:t xml:space="preserve"> </w:t>
      </w:r>
      <w:r w:rsidR="00461367">
        <w:rPr>
          <w:bCs/>
          <w:iCs/>
        </w:rPr>
        <w:t>the costs of compliance</w:t>
      </w:r>
      <w:r w:rsidR="00EF35A5">
        <w:rPr>
          <w:bCs/>
          <w:iCs/>
        </w:rPr>
        <w:t xml:space="preserve"> with the </w:t>
      </w:r>
      <w:r w:rsidR="00F749F8">
        <w:rPr>
          <w:bCs/>
          <w:iCs/>
        </w:rPr>
        <w:t>qualifying criteria</w:t>
      </w:r>
      <w:r w:rsidR="00EF35A5">
        <w:rPr>
          <w:bCs/>
          <w:iCs/>
        </w:rPr>
        <w:t xml:space="preserve"> for nutrition content claims about dietary fibre. There has been no opposition to the proposed delay in </w:t>
      </w:r>
      <w:r w:rsidR="00E30908">
        <w:rPr>
          <w:bCs/>
          <w:iCs/>
        </w:rPr>
        <w:t xml:space="preserve">the requirement to comply with </w:t>
      </w:r>
      <w:r w:rsidR="003A5828">
        <w:rPr>
          <w:szCs w:val="22"/>
        </w:rPr>
        <w:t xml:space="preserve">the qualifying criteria </w:t>
      </w:r>
      <w:r w:rsidR="003A5828">
        <w:rPr>
          <w:rFonts w:cs="Arial"/>
        </w:rPr>
        <w:t>for nutrition content claims about dietary fibre</w:t>
      </w:r>
      <w:r w:rsidR="003A5828">
        <w:rPr>
          <w:szCs w:val="22"/>
        </w:rPr>
        <w:t xml:space="preserve"> </w:t>
      </w:r>
      <w:r w:rsidR="00EF35A5">
        <w:rPr>
          <w:bCs/>
          <w:iCs/>
        </w:rPr>
        <w:t xml:space="preserve">from </w:t>
      </w:r>
      <w:r w:rsidR="00C318C2">
        <w:rPr>
          <w:bCs/>
          <w:iCs/>
        </w:rPr>
        <w:t>the food industry in general</w:t>
      </w:r>
      <w:r w:rsidR="00EF35A5">
        <w:rPr>
          <w:bCs/>
          <w:iCs/>
        </w:rPr>
        <w:t>.</w:t>
      </w:r>
    </w:p>
    <w:p w:rsidR="003D43F8" w:rsidRPr="00EF35A5" w:rsidRDefault="003D43F8" w:rsidP="003D43F8">
      <w:pPr>
        <w:rPr>
          <w:b/>
          <w:bCs/>
          <w:iCs/>
        </w:rPr>
      </w:pPr>
    </w:p>
    <w:p w:rsidR="00187D0C" w:rsidRDefault="003D43F8" w:rsidP="003D43F8">
      <w:pPr>
        <w:rPr>
          <w:rFonts w:cs="Arial"/>
          <w:szCs w:val="22"/>
          <w:lang w:bidi="ar-SA"/>
        </w:rPr>
      </w:pPr>
      <w:r w:rsidRPr="00EF35A5">
        <w:rPr>
          <w:b/>
          <w:bCs/>
          <w:iCs/>
        </w:rPr>
        <w:t xml:space="preserve">Consumers: </w:t>
      </w:r>
      <w:r w:rsidR="00B979EC">
        <w:rPr>
          <w:bCs/>
          <w:iCs/>
        </w:rPr>
        <w:t>It is not clear from the information available whether or not consumers will be affected by the</w:t>
      </w:r>
      <w:r w:rsidR="009267EE">
        <w:rPr>
          <w:bCs/>
          <w:iCs/>
        </w:rPr>
        <w:t xml:space="preserve"> proposed</w:t>
      </w:r>
      <w:r w:rsidR="00B979EC">
        <w:rPr>
          <w:bCs/>
          <w:iCs/>
        </w:rPr>
        <w:t xml:space="preserve"> </w:t>
      </w:r>
      <w:r w:rsidR="009267EE" w:rsidRPr="000363D2">
        <w:t>food regulatory measure</w:t>
      </w:r>
      <w:r w:rsidR="009267EE">
        <w:t>s</w:t>
      </w:r>
      <w:r w:rsidR="00187D0C">
        <w:rPr>
          <w:bCs/>
          <w:iCs/>
        </w:rPr>
        <w:t>, that is, by the possibility that</w:t>
      </w:r>
      <w:r w:rsidR="00B979EC">
        <w:rPr>
          <w:bCs/>
          <w:iCs/>
        </w:rPr>
        <w:t xml:space="preserve"> foods with similar claims (e.g. </w:t>
      </w:r>
      <w:r w:rsidR="00B979EC">
        <w:rPr>
          <w:bCs/>
          <w:i/>
          <w:iCs/>
        </w:rPr>
        <w:t xml:space="preserve">high fibre) </w:t>
      </w:r>
      <w:r w:rsidR="00FD4939">
        <w:rPr>
          <w:rFonts w:cs="Arial"/>
          <w:szCs w:val="22"/>
          <w:lang w:bidi="ar-SA"/>
        </w:rPr>
        <w:t>may have</w:t>
      </w:r>
      <w:r w:rsidR="00B979EC">
        <w:rPr>
          <w:rFonts w:cs="Arial"/>
          <w:szCs w:val="22"/>
          <w:lang w:bidi="ar-SA"/>
        </w:rPr>
        <w:t xml:space="preserve"> different amounts of dietary fibre (lower amounts)</w:t>
      </w:r>
      <w:r w:rsidR="00FD4939">
        <w:rPr>
          <w:rFonts w:cs="Arial"/>
          <w:szCs w:val="22"/>
          <w:lang w:bidi="ar-SA"/>
        </w:rPr>
        <w:t xml:space="preserve"> for </w:t>
      </w:r>
      <w:r w:rsidR="00616EC4">
        <w:rPr>
          <w:rFonts w:cs="Arial"/>
          <w:szCs w:val="22"/>
          <w:lang w:bidi="ar-SA"/>
        </w:rPr>
        <w:t>a further</w:t>
      </w:r>
      <w:r w:rsidR="00187D0C">
        <w:rPr>
          <w:rFonts w:cs="Arial"/>
          <w:szCs w:val="22"/>
          <w:lang w:bidi="ar-SA"/>
        </w:rPr>
        <w:t xml:space="preserve"> </w:t>
      </w:r>
      <w:r w:rsidR="00FD4939">
        <w:rPr>
          <w:rFonts w:cs="Arial"/>
          <w:szCs w:val="22"/>
          <w:lang w:bidi="ar-SA"/>
        </w:rPr>
        <w:t>12 months</w:t>
      </w:r>
      <w:r w:rsidR="00B979EC">
        <w:rPr>
          <w:rFonts w:cs="Arial"/>
          <w:szCs w:val="22"/>
          <w:lang w:bidi="ar-SA"/>
        </w:rPr>
        <w:t xml:space="preserve">. </w:t>
      </w:r>
      <w:r w:rsidR="00616EC4">
        <w:rPr>
          <w:rFonts w:cs="Arial"/>
          <w:szCs w:val="22"/>
          <w:lang w:bidi="ar-SA"/>
        </w:rPr>
        <w:t xml:space="preserve">Since Standard 1.2.7 was gazetted in January 2013, </w:t>
      </w:r>
      <w:r w:rsidR="00B75F2D">
        <w:rPr>
          <w:rFonts w:cs="Arial"/>
          <w:szCs w:val="22"/>
          <w:lang w:bidi="ar-SA"/>
        </w:rPr>
        <w:t xml:space="preserve">there </w:t>
      </w:r>
      <w:r w:rsidR="00187D0C">
        <w:rPr>
          <w:rFonts w:cs="Arial"/>
          <w:szCs w:val="22"/>
          <w:lang w:bidi="ar-SA"/>
        </w:rPr>
        <w:t>is the possibility that foods</w:t>
      </w:r>
      <w:r w:rsidR="00461367">
        <w:rPr>
          <w:rFonts w:cs="Arial"/>
          <w:szCs w:val="22"/>
          <w:lang w:bidi="ar-SA"/>
        </w:rPr>
        <w:t xml:space="preserve"> in the marketplace</w:t>
      </w:r>
      <w:r w:rsidR="00187D0C">
        <w:rPr>
          <w:rFonts w:cs="Arial"/>
          <w:szCs w:val="22"/>
          <w:lang w:bidi="ar-SA"/>
        </w:rPr>
        <w:t xml:space="preserve"> with similar claims about dietary fibre could have different levels of dietary fibre.</w:t>
      </w:r>
    </w:p>
    <w:p w:rsidR="00187D0C" w:rsidRDefault="00187D0C" w:rsidP="003D43F8">
      <w:pPr>
        <w:rPr>
          <w:rFonts w:cs="Arial"/>
          <w:szCs w:val="22"/>
          <w:lang w:bidi="ar-SA"/>
        </w:rPr>
      </w:pPr>
    </w:p>
    <w:p w:rsidR="003D43F8" w:rsidRDefault="00B979EC" w:rsidP="003D43F8">
      <w:pPr>
        <w:rPr>
          <w:bCs/>
          <w:iCs/>
        </w:rPr>
      </w:pPr>
      <w:r>
        <w:rPr>
          <w:rFonts w:cs="Arial"/>
          <w:szCs w:val="22"/>
          <w:lang w:bidi="ar-SA"/>
        </w:rPr>
        <w:t>Information</w:t>
      </w:r>
      <w:r w:rsidR="00EF35A5">
        <w:rPr>
          <w:bCs/>
          <w:iCs/>
        </w:rPr>
        <w:t xml:space="preserve"> about the dietary fibre content of foods carrying claims will continue to be available</w:t>
      </w:r>
      <w:r>
        <w:rPr>
          <w:bCs/>
          <w:iCs/>
        </w:rPr>
        <w:t xml:space="preserve"> in the nutrition information panel, which may help to address any confusion over the 12 month period. </w:t>
      </w:r>
      <w:r w:rsidR="00893708" w:rsidRPr="00893708">
        <w:rPr>
          <w:bCs/>
          <w:iCs/>
        </w:rPr>
        <w:t>FSANZ will consider if there i</w:t>
      </w:r>
      <w:r w:rsidR="00F749F8">
        <w:rPr>
          <w:bCs/>
          <w:iCs/>
        </w:rPr>
        <w:t xml:space="preserve">s a need to provide any </w:t>
      </w:r>
      <w:r w:rsidR="00893708" w:rsidRPr="00893708">
        <w:rPr>
          <w:bCs/>
          <w:iCs/>
        </w:rPr>
        <w:t xml:space="preserve">information to consumers if </w:t>
      </w:r>
      <w:r w:rsidR="004576A7">
        <w:rPr>
          <w:bCs/>
          <w:iCs/>
        </w:rPr>
        <w:t xml:space="preserve">the </w:t>
      </w:r>
      <w:r w:rsidR="004576A7">
        <w:rPr>
          <w:szCs w:val="22"/>
        </w:rPr>
        <w:t>draft variation</w:t>
      </w:r>
      <w:r w:rsidR="007E0100">
        <w:rPr>
          <w:szCs w:val="22"/>
        </w:rPr>
        <w:t>s</w:t>
      </w:r>
      <w:r w:rsidR="00F749F8">
        <w:rPr>
          <w:szCs w:val="22"/>
        </w:rPr>
        <w:t xml:space="preserve"> to the Code are</w:t>
      </w:r>
      <w:r w:rsidR="004576A7">
        <w:rPr>
          <w:szCs w:val="22"/>
        </w:rPr>
        <w:t xml:space="preserve"> approved and the </w:t>
      </w:r>
      <w:r w:rsidR="00F749F8">
        <w:rPr>
          <w:szCs w:val="22"/>
        </w:rPr>
        <w:t xml:space="preserve">requirement to comply with the qualifying criteria for </w:t>
      </w:r>
      <w:r w:rsidR="004576A7">
        <w:rPr>
          <w:rFonts w:cs="Arial"/>
        </w:rPr>
        <w:t>nutrition content claims about dietary fibre</w:t>
      </w:r>
      <w:r w:rsidR="005A60FE">
        <w:rPr>
          <w:rFonts w:cs="Arial"/>
        </w:rPr>
        <w:t>,</w:t>
      </w:r>
      <w:r w:rsidR="004576A7">
        <w:rPr>
          <w:szCs w:val="22"/>
        </w:rPr>
        <w:t xml:space="preserve"> is delayed as proposed</w:t>
      </w:r>
      <w:r w:rsidR="00893708" w:rsidRPr="00893708">
        <w:rPr>
          <w:bCs/>
          <w:iCs/>
        </w:rPr>
        <w:t>.</w:t>
      </w:r>
    </w:p>
    <w:p w:rsidR="00A66A2D" w:rsidRDefault="00A66A2D" w:rsidP="003D43F8">
      <w:pPr>
        <w:rPr>
          <w:bCs/>
          <w:iCs/>
        </w:rPr>
      </w:pPr>
    </w:p>
    <w:p w:rsidR="00F749F8" w:rsidRPr="004446FF" w:rsidRDefault="00F749F8" w:rsidP="00F749F8">
      <w:pPr>
        <w:rPr>
          <w:rFonts w:cs="Arial"/>
        </w:rPr>
      </w:pPr>
      <w:r>
        <w:rPr>
          <w:rFonts w:cs="Arial"/>
        </w:rPr>
        <w:t xml:space="preserve">The Grains &amp; Legumes Nutrition Council stated in their submission that if a delay </w:t>
      </w:r>
      <w:r w:rsidRPr="00FD0D02">
        <w:rPr>
          <w:rFonts w:cs="Arial"/>
        </w:rPr>
        <w:t xml:space="preserve">in the </w:t>
      </w:r>
      <w:r>
        <w:rPr>
          <w:rFonts w:cs="Arial"/>
        </w:rPr>
        <w:t>requirement to comply with the qualifying criteria</w:t>
      </w:r>
      <w:r w:rsidRPr="00FD0D02">
        <w:rPr>
          <w:rFonts w:cs="Arial"/>
        </w:rPr>
        <w:t xml:space="preserve"> for nutrition content claims about dietary fibre</w:t>
      </w:r>
      <w:r>
        <w:rPr>
          <w:rFonts w:cs="Arial"/>
        </w:rPr>
        <w:t xml:space="preserve"> is not granted, consumers could be affected as costs incurred by industry to write-off packaging may be passed on to consumers.</w:t>
      </w:r>
    </w:p>
    <w:p w:rsidR="003D43F8" w:rsidRPr="00EF35A5" w:rsidRDefault="003D43F8" w:rsidP="003D43F8">
      <w:pPr>
        <w:rPr>
          <w:b/>
          <w:bCs/>
          <w:iCs/>
        </w:rPr>
      </w:pPr>
    </w:p>
    <w:p w:rsidR="00BD6C5B" w:rsidRDefault="003D43F8" w:rsidP="00BD6C5B">
      <w:pPr>
        <w:rPr>
          <w:bCs/>
          <w:iCs/>
        </w:rPr>
      </w:pPr>
      <w:r w:rsidRPr="00EF35A5">
        <w:rPr>
          <w:b/>
          <w:bCs/>
          <w:iCs/>
        </w:rPr>
        <w:t>Government:</w:t>
      </w:r>
      <w:r w:rsidRPr="00EF35A5">
        <w:rPr>
          <w:bCs/>
          <w:iCs/>
          <w:color w:val="FF0000"/>
        </w:rPr>
        <w:t xml:space="preserve"> </w:t>
      </w:r>
      <w:r w:rsidR="00B979EC">
        <w:rPr>
          <w:bCs/>
          <w:iCs/>
        </w:rPr>
        <w:t>There is not likely to be additional costs to government from the draft variation</w:t>
      </w:r>
      <w:r w:rsidR="007E0100">
        <w:rPr>
          <w:bCs/>
          <w:iCs/>
        </w:rPr>
        <w:t>s</w:t>
      </w:r>
      <w:r w:rsidR="001349CA">
        <w:rPr>
          <w:bCs/>
          <w:iCs/>
        </w:rPr>
        <w:t>.</w:t>
      </w:r>
      <w:r w:rsidR="00A66A2D">
        <w:rPr>
          <w:bCs/>
          <w:iCs/>
        </w:rPr>
        <w:t xml:space="preserve"> Although the New Zealand Ministry for Primary Industries noted </w:t>
      </w:r>
      <w:r w:rsidR="00461367">
        <w:rPr>
          <w:bCs/>
          <w:iCs/>
        </w:rPr>
        <w:t>in its</w:t>
      </w:r>
      <w:r w:rsidR="00A66A2D">
        <w:rPr>
          <w:bCs/>
          <w:iCs/>
        </w:rPr>
        <w:t xml:space="preserve"> submission that it would be more straightforward if all requirements for nutrition, health and related claims came into force at the same time, no reference to costs was made.</w:t>
      </w:r>
      <w:r w:rsidR="00BD6C5B">
        <w:rPr>
          <w:bCs/>
          <w:iCs/>
        </w:rPr>
        <w:t xml:space="preserve"> </w:t>
      </w:r>
      <w:r w:rsidR="00BD6C5B">
        <w:rPr>
          <w:bCs/>
          <w:iCs/>
        </w:rPr>
        <w:br w:type="page"/>
      </w:r>
    </w:p>
    <w:p w:rsidR="003D43F8" w:rsidRPr="000363D2" w:rsidRDefault="003F4593" w:rsidP="006D7F0A">
      <w:pPr>
        <w:pStyle w:val="Heading4"/>
      </w:pPr>
      <w:r>
        <w:lastRenderedPageBreak/>
        <w:t>2.6</w:t>
      </w:r>
      <w:r w:rsidR="003D43F8" w:rsidRPr="000363D2">
        <w:t>.1.2</w:t>
      </w:r>
      <w:r w:rsidR="003D43F8" w:rsidRPr="000363D2">
        <w:tab/>
        <w:t>Other measures</w:t>
      </w:r>
    </w:p>
    <w:p w:rsidR="003D43F8" w:rsidRPr="000363D2" w:rsidRDefault="007D3641" w:rsidP="003D43F8">
      <w:r>
        <w:t>FSANZ is not aware of</w:t>
      </w:r>
      <w:r w:rsidR="003D43F8" w:rsidRPr="000363D2">
        <w:t xml:space="preserve"> other measures (whether available to FSANZ or not) that would be more cost-effective than a food regulatory measure developed or varied as a result of the Application. </w:t>
      </w:r>
    </w:p>
    <w:p w:rsidR="003D43F8" w:rsidRPr="000363D2" w:rsidRDefault="003F4593" w:rsidP="006D7F0A">
      <w:pPr>
        <w:pStyle w:val="Heading4"/>
      </w:pPr>
      <w:r>
        <w:t>2.6</w:t>
      </w:r>
      <w:r w:rsidR="003D43F8" w:rsidRPr="000363D2">
        <w:t>.1.3</w:t>
      </w:r>
      <w:r w:rsidR="003D43F8" w:rsidRPr="000363D2">
        <w:tab/>
        <w:t>Any relevant New Zealand standards</w:t>
      </w:r>
    </w:p>
    <w:p w:rsidR="003D43F8" w:rsidRPr="000363D2" w:rsidRDefault="003D43F8" w:rsidP="003D43F8">
      <w:r w:rsidRPr="000363D2">
        <w:t xml:space="preserve">The </w:t>
      </w:r>
      <w:r w:rsidR="00E33DC2">
        <w:t>propo</w:t>
      </w:r>
      <w:r w:rsidR="00400E21">
        <w:t>sed food regulatory measures</w:t>
      </w:r>
      <w:r w:rsidRPr="000363D2">
        <w:t xml:space="preserve"> amend a joint Australia New Zealand standard. </w:t>
      </w:r>
    </w:p>
    <w:p w:rsidR="003D43F8" w:rsidRPr="000363D2" w:rsidRDefault="003F4593" w:rsidP="006D7F0A">
      <w:pPr>
        <w:pStyle w:val="Heading4"/>
      </w:pPr>
      <w:r>
        <w:t>2.6</w:t>
      </w:r>
      <w:r w:rsidR="003D43F8" w:rsidRPr="000363D2">
        <w:t>.1.4</w:t>
      </w:r>
      <w:r w:rsidR="003D43F8" w:rsidRPr="000363D2">
        <w:tab/>
        <w:t>Any other relevant matters</w:t>
      </w:r>
    </w:p>
    <w:p w:rsidR="003D43F8" w:rsidRPr="000363D2" w:rsidRDefault="003D43F8" w:rsidP="003D43F8">
      <w:r w:rsidRPr="000363D2">
        <w:t>There are no other relevant matters.</w:t>
      </w:r>
    </w:p>
    <w:p w:rsidR="003D43F8" w:rsidRPr="000363D2" w:rsidRDefault="003F4593" w:rsidP="006D7F0A">
      <w:pPr>
        <w:pStyle w:val="Heading3"/>
      </w:pPr>
      <w:r>
        <w:t>2.6</w:t>
      </w:r>
      <w:r w:rsidR="005906E9">
        <w:t>.2</w:t>
      </w:r>
      <w:r w:rsidR="003D43F8" w:rsidRPr="000363D2">
        <w:tab/>
        <w:t xml:space="preserve">Subsection 18(1) </w:t>
      </w:r>
    </w:p>
    <w:p w:rsidR="003D43F8" w:rsidRPr="000363D2" w:rsidRDefault="003D43F8" w:rsidP="003D43F8">
      <w:r w:rsidRPr="000363D2">
        <w:rPr>
          <w:rFonts w:cs="Arial"/>
        </w:rPr>
        <w:t xml:space="preserve">FSANZ has also </w:t>
      </w:r>
      <w:r w:rsidRPr="000363D2">
        <w:t>considered the three objectives in subsection 18(1) of the FSANZ Act during the assessment.</w:t>
      </w:r>
    </w:p>
    <w:p w:rsidR="003D43F8" w:rsidRPr="000363D2" w:rsidRDefault="003F4593" w:rsidP="006D7F0A">
      <w:pPr>
        <w:pStyle w:val="Heading4"/>
        <w:rPr>
          <w:lang w:eastAsia="en-AU"/>
        </w:rPr>
      </w:pPr>
      <w:r>
        <w:rPr>
          <w:lang w:eastAsia="en-AU"/>
        </w:rPr>
        <w:t>2.6</w:t>
      </w:r>
      <w:r w:rsidR="003D43F8" w:rsidRPr="000363D2">
        <w:rPr>
          <w:lang w:eastAsia="en-AU"/>
        </w:rPr>
        <w:t>.2.1</w:t>
      </w:r>
      <w:r w:rsidR="003D43F8" w:rsidRPr="000363D2">
        <w:rPr>
          <w:lang w:eastAsia="en-AU"/>
        </w:rPr>
        <w:tab/>
        <w:t>Protection of public health and safety</w:t>
      </w:r>
    </w:p>
    <w:p w:rsidR="003D43F8" w:rsidRPr="000363D2" w:rsidRDefault="00323D06" w:rsidP="003D43F8">
      <w:r>
        <w:t>The draft variation is not expected to impact on the protection of public health and safety.</w:t>
      </w:r>
    </w:p>
    <w:p w:rsidR="003D43F8" w:rsidRPr="000363D2" w:rsidRDefault="003F4593" w:rsidP="006D7F0A">
      <w:pPr>
        <w:pStyle w:val="Heading4"/>
        <w:rPr>
          <w:lang w:eastAsia="en-AU"/>
        </w:rPr>
      </w:pPr>
      <w:r>
        <w:rPr>
          <w:lang w:eastAsia="en-AU"/>
        </w:rPr>
        <w:t>2.6</w:t>
      </w:r>
      <w:r w:rsidR="003D43F8" w:rsidRPr="000363D2">
        <w:rPr>
          <w:lang w:eastAsia="en-AU"/>
        </w:rPr>
        <w:t>.2.2</w:t>
      </w:r>
      <w:r w:rsidR="003D43F8" w:rsidRPr="000363D2">
        <w:rPr>
          <w:lang w:eastAsia="en-AU"/>
        </w:rPr>
        <w:tab/>
        <w:t>The provision of adequate information relating to food to enable consumers to make informed choices</w:t>
      </w:r>
    </w:p>
    <w:p w:rsidR="003D43F8" w:rsidRPr="000363D2" w:rsidRDefault="003D43F8" w:rsidP="003D43F8">
      <w:r w:rsidRPr="000363D2">
        <w:t>As there will be no change to Standard</w:t>
      </w:r>
      <w:r w:rsidR="00FD4939">
        <w:t xml:space="preserve"> 1.2.8 – Nutrition Information Requirements</w:t>
      </w:r>
      <w:r w:rsidRPr="000363D2">
        <w:t xml:space="preserve">, consumers will continue to be provided with information about the dietary fibre content of </w:t>
      </w:r>
      <w:r w:rsidR="00461367">
        <w:t>foods</w:t>
      </w:r>
      <w:r w:rsidRPr="000363D2">
        <w:t xml:space="preserve"> carrying nutrition content claims about dietary fibre. In addition,</w:t>
      </w:r>
      <w:r w:rsidR="00FD4939">
        <w:t xml:space="preserve"> </w:t>
      </w:r>
      <w:r w:rsidR="00A42D1F">
        <w:t>sub</w:t>
      </w:r>
      <w:r w:rsidR="007F2213">
        <w:t>c</w:t>
      </w:r>
      <w:r w:rsidR="00FD4939">
        <w:t>lause 19(3) of Standard 1.2.8</w:t>
      </w:r>
      <w:r w:rsidRPr="000363D2">
        <w:t xml:space="preserve"> permits the voluntary declaration of dietary fibre in the nutrition information panel if the food contains less than 2 g dietary fibre per serving.</w:t>
      </w:r>
    </w:p>
    <w:p w:rsidR="003D43F8" w:rsidRPr="000363D2" w:rsidRDefault="003F4593" w:rsidP="006D7F0A">
      <w:pPr>
        <w:pStyle w:val="Heading4"/>
        <w:rPr>
          <w:lang w:eastAsia="en-AU"/>
        </w:rPr>
      </w:pPr>
      <w:r>
        <w:rPr>
          <w:lang w:eastAsia="en-AU"/>
        </w:rPr>
        <w:t>2.6</w:t>
      </w:r>
      <w:r w:rsidR="003D43F8" w:rsidRPr="000363D2">
        <w:rPr>
          <w:lang w:eastAsia="en-AU"/>
        </w:rPr>
        <w:t>.2.3</w:t>
      </w:r>
      <w:r w:rsidR="003D43F8" w:rsidRPr="000363D2">
        <w:rPr>
          <w:lang w:eastAsia="en-AU"/>
        </w:rPr>
        <w:tab/>
        <w:t>The prevention of misleading or deceptive conduct</w:t>
      </w:r>
    </w:p>
    <w:p w:rsidR="003D43F8" w:rsidRPr="000363D2" w:rsidRDefault="003D43F8" w:rsidP="003D43F8">
      <w:r w:rsidRPr="000363D2">
        <w:t xml:space="preserve">The current </w:t>
      </w:r>
      <w:r w:rsidR="00323D06">
        <w:t xml:space="preserve">mandatory nutrition information </w:t>
      </w:r>
      <w:r w:rsidRPr="000363D2">
        <w:t>requirements for products carrying nutrition content claims about dietary fibre will assist to mitigate any potential f</w:t>
      </w:r>
      <w:r w:rsidR="00FD4939">
        <w:t xml:space="preserve">or consumers to be misled about possible </w:t>
      </w:r>
      <w:r w:rsidR="00187D0C">
        <w:t xml:space="preserve">continued </w:t>
      </w:r>
      <w:r w:rsidR="00FD4939">
        <w:t xml:space="preserve">variation in the dietary fibre content of foods carrying similar claims, during the period </w:t>
      </w:r>
      <w:r w:rsidR="00DF0094">
        <w:t xml:space="preserve">commencing on </w:t>
      </w:r>
      <w:r w:rsidR="00FD4939">
        <w:t xml:space="preserve">18 January 2016 </w:t>
      </w:r>
      <w:r w:rsidR="00FC408F">
        <w:t>until and including 17</w:t>
      </w:r>
      <w:r w:rsidR="00FD4939">
        <w:t xml:space="preserve"> January 2017.</w:t>
      </w:r>
      <w:r w:rsidRPr="000363D2">
        <w:t xml:space="preserve"> </w:t>
      </w:r>
    </w:p>
    <w:p w:rsidR="003D43F8" w:rsidRPr="000363D2" w:rsidRDefault="003F4593" w:rsidP="006D7F0A">
      <w:pPr>
        <w:pStyle w:val="Heading3"/>
      </w:pPr>
      <w:r>
        <w:t>2.6</w:t>
      </w:r>
      <w:r w:rsidR="003D43F8" w:rsidRPr="000363D2">
        <w:t>.3</w:t>
      </w:r>
      <w:r w:rsidR="003D43F8" w:rsidRPr="000363D2">
        <w:tab/>
        <w:t>Subsection 18(2) considerations</w:t>
      </w:r>
    </w:p>
    <w:p w:rsidR="003D43F8" w:rsidRPr="000363D2" w:rsidRDefault="003D43F8" w:rsidP="003D43F8">
      <w:pPr>
        <w:rPr>
          <w:rFonts w:cs="Arial"/>
        </w:rPr>
      </w:pPr>
      <w:r w:rsidRPr="000363D2">
        <w:rPr>
          <w:rFonts w:cs="Arial"/>
        </w:rPr>
        <w:t>FSANZ has also had regard to:</w:t>
      </w:r>
    </w:p>
    <w:p w:rsidR="003D43F8" w:rsidRPr="000363D2" w:rsidRDefault="003D43F8" w:rsidP="003D43F8">
      <w:pPr>
        <w:rPr>
          <w:rFonts w:cs="Arial"/>
        </w:rPr>
      </w:pPr>
    </w:p>
    <w:p w:rsidR="003D43F8" w:rsidRPr="00FD4939" w:rsidRDefault="003D43F8" w:rsidP="003D43F8">
      <w:pPr>
        <w:numPr>
          <w:ilvl w:val="0"/>
          <w:numId w:val="2"/>
        </w:numPr>
        <w:ind w:left="567" w:hanging="567"/>
        <w:rPr>
          <w:rFonts w:cs="Arial"/>
          <w:b/>
        </w:rPr>
      </w:pPr>
      <w:r w:rsidRPr="00FD4939">
        <w:rPr>
          <w:rFonts w:cs="Arial"/>
          <w:b/>
        </w:rPr>
        <w:t>the need for standards to be based on risk analysis using the best available scientific evidence</w:t>
      </w:r>
    </w:p>
    <w:p w:rsidR="003D43F8" w:rsidRDefault="003D43F8" w:rsidP="003D43F8"/>
    <w:p w:rsidR="00BD6C5B" w:rsidRDefault="00461367" w:rsidP="00BD6C5B">
      <w:pPr>
        <w:rPr>
          <w:lang w:bidi="ar-SA"/>
        </w:rPr>
      </w:pPr>
      <w:r w:rsidRPr="00D7795B">
        <w:rPr>
          <w:lang w:bidi="ar-SA"/>
        </w:rPr>
        <w:t>Standard 1.2.7 was gazetted in January 2013 with a three-year transition period</w:t>
      </w:r>
      <w:r>
        <w:rPr>
          <w:lang w:bidi="ar-SA"/>
        </w:rPr>
        <w:t>, which ends on</w:t>
      </w:r>
      <w:r w:rsidRPr="00D7795B">
        <w:rPr>
          <w:lang w:bidi="ar-SA"/>
        </w:rPr>
        <w:t xml:space="preserve"> 18 January 2016</w:t>
      </w:r>
      <w:r>
        <w:t>. Application</w:t>
      </w:r>
      <w:r w:rsidRPr="000D51B2">
        <w:rPr>
          <w:rFonts w:cs="Arial"/>
        </w:rPr>
        <w:t xml:space="preserve"> </w:t>
      </w:r>
      <w:r>
        <w:rPr>
          <w:rFonts w:cs="Arial"/>
        </w:rPr>
        <w:t>A1101 seeks a 12 month delay in the requirement for industry to comply with the qualifying criteria for nutrition content claims about dietary fibre in Standard 1.2.7. The rationale is to reduce the cost of compliance for industry</w:t>
      </w:r>
      <w:r w:rsidR="001943FB">
        <w:rPr>
          <w:rFonts w:cs="Arial"/>
        </w:rPr>
        <w:t>.</w:t>
      </w:r>
      <w:r w:rsidR="00167748" w:rsidRPr="00167748">
        <w:rPr>
          <w:rFonts w:cs="Arial"/>
        </w:rPr>
        <w:t xml:space="preserve"> </w:t>
      </w:r>
      <w:r w:rsidR="00167748">
        <w:rPr>
          <w:rFonts w:cs="Arial"/>
        </w:rPr>
        <w:t xml:space="preserve">FSANZ considered the qualifying criteria during the assessment of </w:t>
      </w:r>
      <w:r w:rsidR="00167748" w:rsidRPr="00D7795B">
        <w:rPr>
          <w:lang w:bidi="ar-SA"/>
        </w:rPr>
        <w:t>Propo</w:t>
      </w:r>
      <w:r w:rsidR="00167748">
        <w:rPr>
          <w:lang w:bidi="ar-SA"/>
        </w:rPr>
        <w:t>sal P293 – Nutrition, Health &amp;</w:t>
      </w:r>
      <w:r w:rsidR="00167748" w:rsidRPr="00D7795B">
        <w:rPr>
          <w:lang w:bidi="ar-SA"/>
        </w:rPr>
        <w:t xml:space="preserve"> Related Claims</w:t>
      </w:r>
      <w:r w:rsidR="00167748">
        <w:rPr>
          <w:rFonts w:cs="Arial"/>
        </w:rPr>
        <w:t xml:space="preserve"> and subsequently considered them again in 2013. Therefore the focus of A1101 is on the costs and benefits of delaying the requirement for industry to comply with the qualifying criteria for nutrition content</w:t>
      </w:r>
      <w:r w:rsidR="001943FB">
        <w:rPr>
          <w:rFonts w:cs="Arial"/>
        </w:rPr>
        <w:t xml:space="preserve"> claims for 12 months</w:t>
      </w:r>
      <w:r>
        <w:t>. A qualitative analysis of costs and benefits has been undertaken.</w:t>
      </w:r>
      <w:r w:rsidR="00BD6C5B">
        <w:rPr>
          <w:lang w:bidi="ar-SA"/>
        </w:rPr>
        <w:t xml:space="preserve"> </w:t>
      </w:r>
      <w:r w:rsidR="00BD6C5B">
        <w:rPr>
          <w:lang w:bidi="ar-SA"/>
        </w:rPr>
        <w:br w:type="page"/>
      </w:r>
    </w:p>
    <w:p w:rsidR="003D43F8" w:rsidRPr="000363D2" w:rsidRDefault="003D43F8" w:rsidP="003D43F8">
      <w:pPr>
        <w:numPr>
          <w:ilvl w:val="0"/>
          <w:numId w:val="2"/>
        </w:numPr>
        <w:ind w:left="567" w:hanging="567"/>
        <w:rPr>
          <w:rFonts w:cs="Arial"/>
          <w:b/>
        </w:rPr>
      </w:pPr>
      <w:r w:rsidRPr="000363D2">
        <w:rPr>
          <w:rFonts w:cs="Arial"/>
          <w:b/>
        </w:rPr>
        <w:lastRenderedPageBreak/>
        <w:t>the promotion of consistency between domestic and international food standards</w:t>
      </w:r>
    </w:p>
    <w:p w:rsidR="003D43F8" w:rsidRPr="000363D2" w:rsidRDefault="003D43F8" w:rsidP="003D43F8"/>
    <w:p w:rsidR="003D43F8" w:rsidRPr="000363D2" w:rsidRDefault="003D43F8" w:rsidP="003D43F8">
      <w:r w:rsidRPr="00FD4939">
        <w:t>Not applicable</w:t>
      </w:r>
      <w:r w:rsidR="00461367">
        <w:t>, as the Application is about a delay in the requirement to comply with provisions in the Code, rather than the actual provisions.</w:t>
      </w:r>
    </w:p>
    <w:p w:rsidR="003D43F8" w:rsidRPr="000363D2" w:rsidRDefault="003D43F8" w:rsidP="003D43F8"/>
    <w:p w:rsidR="003D43F8" w:rsidRPr="000363D2" w:rsidRDefault="003D43F8" w:rsidP="003D43F8">
      <w:pPr>
        <w:numPr>
          <w:ilvl w:val="0"/>
          <w:numId w:val="2"/>
        </w:numPr>
        <w:ind w:left="567" w:hanging="567"/>
        <w:rPr>
          <w:rFonts w:cs="Arial"/>
          <w:b/>
        </w:rPr>
      </w:pPr>
      <w:r w:rsidRPr="000363D2">
        <w:rPr>
          <w:rFonts w:cs="Arial"/>
          <w:b/>
        </w:rPr>
        <w:t>the desirability of an efficient and internationally competitive food industry</w:t>
      </w:r>
    </w:p>
    <w:p w:rsidR="003D43F8" w:rsidRPr="000363D2" w:rsidRDefault="003D43F8" w:rsidP="003D43F8"/>
    <w:p w:rsidR="003D43F8" w:rsidRDefault="00FD4939" w:rsidP="003D43F8">
      <w:r>
        <w:t>The proposed variation will help to reduce the costs of compliance</w:t>
      </w:r>
      <w:r w:rsidR="00EB1C31">
        <w:t xml:space="preserve"> with </w:t>
      </w:r>
      <w:r w:rsidR="00A22B67">
        <w:t>qualifying criteria</w:t>
      </w:r>
      <w:r w:rsidR="00EB1C31">
        <w:t xml:space="preserve"> for nutrition content claims about dietary fibre</w:t>
      </w:r>
      <w:r w:rsidR="00A22B67">
        <w:t xml:space="preserve"> in Standard 1.2.7</w:t>
      </w:r>
      <w:r w:rsidR="00332532">
        <w:t>, thereby supporting an efficient and internationally competitive food industry</w:t>
      </w:r>
      <w:r w:rsidR="00EB1C31">
        <w:t>.</w:t>
      </w:r>
      <w:r w:rsidR="00332532">
        <w:t xml:space="preserve"> </w:t>
      </w:r>
    </w:p>
    <w:p w:rsidR="003D43F8" w:rsidRPr="000363D2" w:rsidRDefault="003D43F8" w:rsidP="003D43F8"/>
    <w:p w:rsidR="003D43F8" w:rsidRPr="000363D2" w:rsidRDefault="003D43F8" w:rsidP="003D43F8">
      <w:pPr>
        <w:numPr>
          <w:ilvl w:val="0"/>
          <w:numId w:val="2"/>
        </w:numPr>
        <w:ind w:left="567" w:hanging="567"/>
        <w:rPr>
          <w:rFonts w:cs="Arial"/>
          <w:b/>
        </w:rPr>
      </w:pPr>
      <w:r w:rsidRPr="000363D2">
        <w:rPr>
          <w:rFonts w:cs="Arial"/>
          <w:b/>
        </w:rPr>
        <w:t>the promotion of fair trading in food</w:t>
      </w:r>
    </w:p>
    <w:p w:rsidR="003D43F8" w:rsidRPr="000363D2" w:rsidRDefault="003D43F8" w:rsidP="003D43F8"/>
    <w:p w:rsidR="003D43F8" w:rsidRPr="000363D2" w:rsidRDefault="00DA3502" w:rsidP="003D43F8">
      <w:r>
        <w:t>T</w:t>
      </w:r>
      <w:r w:rsidR="00332532">
        <w:t xml:space="preserve">his Application is only about a </w:t>
      </w:r>
      <w:r w:rsidR="007D3641">
        <w:t xml:space="preserve">relatively short </w:t>
      </w:r>
      <w:r w:rsidR="00332532">
        <w:t xml:space="preserve">delay in the </w:t>
      </w:r>
      <w:r w:rsidR="00E30908">
        <w:t xml:space="preserve">requirement to comply with </w:t>
      </w:r>
      <w:r w:rsidR="00E33DC2">
        <w:t>the qualifying criteria for</w:t>
      </w:r>
      <w:r w:rsidR="00332532">
        <w:t xml:space="preserve"> nutrition content claims about dietary fibre.</w:t>
      </w:r>
    </w:p>
    <w:p w:rsidR="003D43F8" w:rsidRPr="000363D2" w:rsidRDefault="003D43F8" w:rsidP="003D43F8"/>
    <w:p w:rsidR="003D43F8" w:rsidRPr="000363D2" w:rsidRDefault="003D43F8" w:rsidP="003D43F8">
      <w:pPr>
        <w:numPr>
          <w:ilvl w:val="0"/>
          <w:numId w:val="2"/>
        </w:numPr>
        <w:ind w:left="567" w:hanging="567"/>
        <w:rPr>
          <w:rFonts w:cs="Arial"/>
          <w:b/>
        </w:rPr>
      </w:pPr>
      <w:r w:rsidRPr="000363D2">
        <w:rPr>
          <w:rFonts w:cs="Arial"/>
          <w:b/>
        </w:rPr>
        <w:t>any written policy guidelines formulated by the Ministerial Council</w:t>
      </w:r>
      <w:r w:rsidRPr="000363D2">
        <w:rPr>
          <w:rFonts w:cs="Arial"/>
          <w:b/>
          <w:vertAlign w:val="superscript"/>
        </w:rPr>
        <w:footnoteReference w:id="8"/>
      </w:r>
    </w:p>
    <w:p w:rsidR="003D43F8" w:rsidRPr="000363D2" w:rsidRDefault="003D43F8" w:rsidP="003D43F8"/>
    <w:p w:rsidR="003D43F8" w:rsidRDefault="003D43F8" w:rsidP="003D43F8">
      <w:r w:rsidRPr="000363D2">
        <w:t xml:space="preserve">In December 2003, </w:t>
      </w:r>
      <w:r w:rsidR="007F2213">
        <w:t>Ministers</w:t>
      </w:r>
      <w:r w:rsidRPr="000363D2">
        <w:t xml:space="preserve"> </w:t>
      </w:r>
      <w:r w:rsidR="007F2213">
        <w:t>approved</w:t>
      </w:r>
      <w:r w:rsidR="007F2213" w:rsidRPr="000363D2">
        <w:t xml:space="preserve"> </w:t>
      </w:r>
      <w:r w:rsidRPr="000363D2">
        <w:t xml:space="preserve">the </w:t>
      </w:r>
      <w:r w:rsidRPr="000363D2">
        <w:rPr>
          <w:i/>
        </w:rPr>
        <w:t>Policy Guideline on Nutrition, Health and Related Claims</w:t>
      </w:r>
      <w:r w:rsidRPr="000363D2">
        <w:rPr>
          <w:vertAlign w:val="superscript"/>
        </w:rPr>
        <w:footnoteReference w:id="9"/>
      </w:r>
      <w:r w:rsidRPr="000363D2">
        <w:rPr>
          <w:i/>
        </w:rPr>
        <w:t xml:space="preserve">. </w:t>
      </w:r>
      <w:r w:rsidRPr="000363D2">
        <w:t>The Policy Guideline sets out the policy principles underpinning the regulation of nutrition content claims (and health claims) and aims to permit claims and encourage industry to innovate, whilst ensuring consumers are not misled.</w:t>
      </w:r>
    </w:p>
    <w:p w:rsidR="003D43F8" w:rsidRDefault="003D43F8" w:rsidP="003D43F8"/>
    <w:p w:rsidR="00022DBC" w:rsidRDefault="003D43F8" w:rsidP="00022DBC">
      <w:r>
        <w:t>The Policy Guideline states that a regulatory system for health, nutrition and related claims s</w:t>
      </w:r>
      <w:r w:rsidRPr="007523CC">
        <w:t>hould</w:t>
      </w:r>
      <w:r>
        <w:t xml:space="preserve"> amongst other things </w:t>
      </w:r>
      <w:r w:rsidRPr="007523CC">
        <w:rPr>
          <w:rFonts w:cs="Arial"/>
          <w:i/>
          <w:lang w:val="en-AU"/>
        </w:rPr>
        <w:t>allow for all transition issues to be clearly identified and steps taken to justify and to minimise costs of change and transition.</w:t>
      </w:r>
      <w:r>
        <w:rPr>
          <w:rFonts w:cs="Arial"/>
          <w:i/>
          <w:lang w:val="en-AU"/>
        </w:rPr>
        <w:t xml:space="preserve"> </w:t>
      </w:r>
      <w:r>
        <w:rPr>
          <w:rFonts w:cs="Arial"/>
          <w:lang w:val="en-AU"/>
        </w:rPr>
        <w:t xml:space="preserve">The delay in the </w:t>
      </w:r>
      <w:r w:rsidR="00E30908">
        <w:rPr>
          <w:rFonts w:cs="Arial"/>
          <w:lang w:val="en-AU"/>
        </w:rPr>
        <w:t xml:space="preserve">requirement to comply </w:t>
      </w:r>
      <w:r w:rsidR="00A22B67">
        <w:rPr>
          <w:rFonts w:cs="Arial"/>
          <w:lang w:val="en-AU"/>
        </w:rPr>
        <w:t>with the qualifying criteria for</w:t>
      </w:r>
      <w:r w:rsidR="00E30908">
        <w:rPr>
          <w:rFonts w:cs="Arial"/>
          <w:lang w:val="en-AU"/>
        </w:rPr>
        <w:t xml:space="preserve"> </w:t>
      </w:r>
      <w:r>
        <w:rPr>
          <w:rFonts w:cs="Arial"/>
          <w:lang w:val="en-AU"/>
        </w:rPr>
        <w:t>nutrition content claims about dietary fibre will help to minimise the cost of compliance with this aspect of Standard 1.2.7.</w:t>
      </w:r>
    </w:p>
    <w:p w:rsidR="00E520FE" w:rsidRPr="003D43F8" w:rsidRDefault="00E520FE" w:rsidP="00DD3C5E"/>
    <w:p w:rsidR="005F7342" w:rsidRPr="003D43F8" w:rsidRDefault="00867B23" w:rsidP="00E203C2">
      <w:pPr>
        <w:pStyle w:val="Heading1"/>
      </w:pPr>
      <w:bookmarkStart w:id="52" w:name="_Toc286391014"/>
      <w:bookmarkStart w:id="53" w:name="_Toc175381455"/>
      <w:bookmarkStart w:id="54" w:name="_Toc300933445"/>
      <w:bookmarkStart w:id="55" w:name="_Toc414615581"/>
      <w:bookmarkEnd w:id="28"/>
      <w:bookmarkEnd w:id="29"/>
      <w:bookmarkEnd w:id="30"/>
      <w:bookmarkEnd w:id="31"/>
      <w:bookmarkEnd w:id="32"/>
      <w:bookmarkEnd w:id="33"/>
      <w:bookmarkEnd w:id="48"/>
      <w:r w:rsidRPr="003D43F8">
        <w:t>3</w:t>
      </w:r>
      <w:r w:rsidR="00F604DE" w:rsidRPr="003D43F8">
        <w:tab/>
      </w:r>
      <w:bookmarkEnd w:id="52"/>
      <w:bookmarkEnd w:id="53"/>
      <w:bookmarkEnd w:id="54"/>
      <w:r w:rsidR="00D14405" w:rsidRPr="003D43F8">
        <w:t>Draft variation</w:t>
      </w:r>
      <w:r w:rsidR="007E0100">
        <w:t>s</w:t>
      </w:r>
      <w:bookmarkEnd w:id="55"/>
    </w:p>
    <w:p w:rsidR="00B0703E" w:rsidRDefault="00A12B44" w:rsidP="00E75054">
      <w:r>
        <w:t xml:space="preserve">The </w:t>
      </w:r>
      <w:r w:rsidR="006940C5">
        <w:rPr>
          <w:rFonts w:eastAsia="Calibri" w:cs="Arial"/>
          <w:bCs/>
          <w:szCs w:val="22"/>
          <w:lang w:val="en-AU" w:bidi="ar-SA"/>
        </w:rPr>
        <w:t xml:space="preserve">draft Standard and consequential variation </w:t>
      </w:r>
      <w:r w:rsidR="007F2213">
        <w:rPr>
          <w:rFonts w:eastAsia="Calibri" w:cs="Arial"/>
          <w:bCs/>
          <w:szCs w:val="22"/>
          <w:lang w:val="en-AU" w:bidi="ar-SA"/>
        </w:rPr>
        <w:t xml:space="preserve">for the current Code </w:t>
      </w:r>
      <w:r w:rsidR="006940C5">
        <w:t xml:space="preserve">are </w:t>
      </w:r>
      <w:r>
        <w:t xml:space="preserve">at </w:t>
      </w:r>
      <w:r w:rsidR="00D26814">
        <w:t xml:space="preserve">Attachment A. </w:t>
      </w:r>
      <w:r w:rsidR="00B0703E">
        <w:t>Each is</w:t>
      </w:r>
      <w:r w:rsidR="006066BC">
        <w:t xml:space="preserve"> intended to take </w:t>
      </w:r>
      <w:r w:rsidR="006066BC" w:rsidRPr="00DE4648">
        <w:t xml:space="preserve">effect on </w:t>
      </w:r>
      <w:r w:rsidR="00B75F2D">
        <w:t>1</w:t>
      </w:r>
      <w:r w:rsidR="00CB0D37">
        <w:t>8</w:t>
      </w:r>
      <w:r w:rsidR="00B75F2D">
        <w:t xml:space="preserve"> January 2016</w:t>
      </w:r>
      <w:r w:rsidR="00F477B0">
        <w:t>.</w:t>
      </w:r>
      <w:r w:rsidR="007F2213">
        <w:t xml:space="preserve"> </w:t>
      </w:r>
    </w:p>
    <w:p w:rsidR="00B0703E" w:rsidRDefault="00B0703E" w:rsidP="00E75054"/>
    <w:p w:rsidR="00F477B0" w:rsidRPr="00400E21" w:rsidRDefault="00B0703E" w:rsidP="00E75054">
      <w:pPr>
        <w:rPr>
          <w:u w:val="single"/>
        </w:rPr>
      </w:pPr>
      <w:r>
        <w:t>Draft explanator</w:t>
      </w:r>
      <w:r w:rsidRPr="00D26814">
        <w:t>y statement</w:t>
      </w:r>
      <w:r>
        <w:t xml:space="preserve">s to the </w:t>
      </w:r>
      <w:r>
        <w:rPr>
          <w:rFonts w:eastAsia="Calibri" w:cs="Arial"/>
          <w:bCs/>
          <w:szCs w:val="22"/>
          <w:lang w:val="en-AU" w:bidi="ar-SA"/>
        </w:rPr>
        <w:t xml:space="preserve">draft Standard and consequential variation </w:t>
      </w:r>
      <w:r>
        <w:t>are</w:t>
      </w:r>
      <w:r w:rsidRPr="00D26814">
        <w:t xml:space="preserve"> at Attachment B. </w:t>
      </w:r>
      <w:r>
        <w:t xml:space="preserve">An </w:t>
      </w:r>
      <w:r w:rsidRPr="00D26814">
        <w:t xml:space="preserve">explanatory statement is required to accompany </w:t>
      </w:r>
      <w:r>
        <w:t>each</w:t>
      </w:r>
      <w:r w:rsidRPr="00D26814">
        <w:t xml:space="preserve"> instrument lodged on the Federal Register of Legislative Instru</w:t>
      </w:r>
      <w:r>
        <w:t xml:space="preserve">ments. </w:t>
      </w:r>
    </w:p>
    <w:p w:rsidR="00F477B0" w:rsidRDefault="00F477B0" w:rsidP="00E75054"/>
    <w:p w:rsidR="00400E21" w:rsidRPr="00E87C99" w:rsidRDefault="00F477B0" w:rsidP="00E75054">
      <w:pPr>
        <w:rPr>
          <w:szCs w:val="22"/>
          <w:lang w:val="en-AU"/>
        </w:rPr>
      </w:pPr>
      <w:r w:rsidRPr="00400E21">
        <w:rPr>
          <w:szCs w:val="22"/>
          <w:lang w:val="en-AU"/>
        </w:rPr>
        <w:t xml:space="preserve">The current Code </w:t>
      </w:r>
      <w:r w:rsidR="00527870">
        <w:rPr>
          <w:szCs w:val="22"/>
          <w:lang w:val="en-AU"/>
        </w:rPr>
        <w:t>will be revised</w:t>
      </w:r>
      <w:r w:rsidR="00527870" w:rsidRPr="00400E21">
        <w:rPr>
          <w:szCs w:val="22"/>
          <w:lang w:val="en-AU"/>
        </w:rPr>
        <w:t xml:space="preserve"> </w:t>
      </w:r>
      <w:r w:rsidRPr="00400E21">
        <w:rPr>
          <w:szCs w:val="22"/>
          <w:lang w:val="en-AU"/>
        </w:rPr>
        <w:t xml:space="preserve">on 1 March 2016, when the revised Code developed under Proposal P1025 </w:t>
      </w:r>
      <w:r w:rsidR="00527870">
        <w:rPr>
          <w:szCs w:val="22"/>
          <w:lang w:val="en-AU"/>
        </w:rPr>
        <w:t>commences</w:t>
      </w:r>
      <w:r w:rsidRPr="00400E21">
        <w:rPr>
          <w:szCs w:val="22"/>
          <w:lang w:val="en-AU"/>
        </w:rPr>
        <w:t xml:space="preserve"> and Chapters 1 and 2 of the current Code are </w:t>
      </w:r>
      <w:r w:rsidR="00B0703E">
        <w:rPr>
          <w:szCs w:val="22"/>
          <w:lang w:val="en-AU"/>
        </w:rPr>
        <w:t>revoked</w:t>
      </w:r>
      <w:r w:rsidRPr="00400E21">
        <w:rPr>
          <w:szCs w:val="22"/>
          <w:lang w:val="en-AU"/>
        </w:rPr>
        <w:t xml:space="preserve">. </w:t>
      </w:r>
      <w:r w:rsidR="00B0703E">
        <w:rPr>
          <w:szCs w:val="22"/>
          <w:lang w:val="en-AU"/>
        </w:rPr>
        <w:t xml:space="preserve">The revised Code </w:t>
      </w:r>
      <w:r w:rsidR="002B49A1">
        <w:rPr>
          <w:szCs w:val="22"/>
          <w:lang w:val="en-AU"/>
        </w:rPr>
        <w:t xml:space="preserve">must </w:t>
      </w:r>
      <w:r w:rsidR="00B0703E">
        <w:rPr>
          <w:szCs w:val="22"/>
          <w:lang w:val="en-AU"/>
        </w:rPr>
        <w:t xml:space="preserve">be amended before 1 March 2016 to include </w:t>
      </w:r>
      <w:r w:rsidRPr="00400E21">
        <w:rPr>
          <w:szCs w:val="22"/>
          <w:lang w:val="en-AU"/>
        </w:rPr>
        <w:t xml:space="preserve">the transitional arrangements proposed under Application A1101 </w:t>
      </w:r>
      <w:r w:rsidR="00B0703E">
        <w:rPr>
          <w:szCs w:val="22"/>
          <w:lang w:val="en-AU"/>
        </w:rPr>
        <w:t>and to</w:t>
      </w:r>
      <w:r w:rsidRPr="00400E21">
        <w:rPr>
          <w:szCs w:val="22"/>
          <w:lang w:val="en-AU"/>
        </w:rPr>
        <w:t xml:space="preserve"> continue </w:t>
      </w:r>
      <w:r w:rsidR="00B0703E">
        <w:rPr>
          <w:szCs w:val="22"/>
          <w:lang w:val="en-AU"/>
        </w:rPr>
        <w:t xml:space="preserve">those arrangements </w:t>
      </w:r>
      <w:r w:rsidRPr="00400E21">
        <w:rPr>
          <w:szCs w:val="22"/>
          <w:lang w:val="en-AU"/>
        </w:rPr>
        <w:t>until and including 17 January 2017.</w:t>
      </w:r>
      <w:r w:rsidR="00B0703E">
        <w:t xml:space="preserve"> </w:t>
      </w:r>
    </w:p>
    <w:p w:rsidR="00E87C99" w:rsidRDefault="00E87C99" w:rsidP="00E75054"/>
    <w:p w:rsidR="0052439D" w:rsidRDefault="002B49A1" w:rsidP="002432EE">
      <w:pPr>
        <w:rPr>
          <w:rFonts w:cs="Arial"/>
        </w:rPr>
      </w:pPr>
      <w:r>
        <w:t xml:space="preserve">The </w:t>
      </w:r>
      <w:r>
        <w:rPr>
          <w:rFonts w:eastAsia="Calibri" w:cs="Arial"/>
          <w:bCs/>
          <w:szCs w:val="22"/>
          <w:lang w:val="en-AU" w:bidi="ar-SA"/>
        </w:rPr>
        <w:t>draft Standard and consequential variation</w:t>
      </w:r>
      <w:r w:rsidR="008A689E">
        <w:rPr>
          <w:rFonts w:eastAsia="Calibri" w:cs="Arial"/>
          <w:bCs/>
          <w:szCs w:val="22"/>
          <w:lang w:val="en-AU" w:bidi="ar-SA"/>
        </w:rPr>
        <w:t>s</w:t>
      </w:r>
      <w:r>
        <w:rPr>
          <w:rFonts w:eastAsia="Calibri" w:cs="Arial"/>
          <w:bCs/>
          <w:szCs w:val="22"/>
          <w:lang w:val="en-AU" w:bidi="ar-SA"/>
        </w:rPr>
        <w:t xml:space="preserve"> for the revised Code </w:t>
      </w:r>
      <w:r>
        <w:t xml:space="preserve">are at Attachment C. </w:t>
      </w:r>
      <w:r w:rsidR="008A689E">
        <w:t>These are</w:t>
      </w:r>
      <w:r>
        <w:t xml:space="preserve"> intended to take </w:t>
      </w:r>
      <w:r w:rsidRPr="00DE4648">
        <w:t xml:space="preserve">effect on </w:t>
      </w:r>
      <w:proofErr w:type="gramStart"/>
      <w:r w:rsidR="002003F1">
        <w:t>I</w:t>
      </w:r>
      <w:proofErr w:type="gramEnd"/>
      <w:r w:rsidR="002003F1">
        <w:t xml:space="preserve"> March</w:t>
      </w:r>
      <w:r>
        <w:t xml:space="preserve"> 2016.</w:t>
      </w:r>
      <w:r w:rsidR="00E1348F">
        <w:t xml:space="preserve"> Draft explanator</w:t>
      </w:r>
      <w:r w:rsidR="00E1348F" w:rsidRPr="00D26814">
        <w:t>y statement</w:t>
      </w:r>
      <w:r w:rsidR="00E1348F">
        <w:t xml:space="preserve">s for this </w:t>
      </w:r>
      <w:r w:rsidR="00E1348F">
        <w:rPr>
          <w:rFonts w:eastAsia="Calibri" w:cs="Arial"/>
          <w:bCs/>
          <w:szCs w:val="22"/>
          <w:lang w:val="en-AU" w:bidi="ar-SA"/>
        </w:rPr>
        <w:t>draft Standard and consequential variation</w:t>
      </w:r>
      <w:r w:rsidR="008A689E">
        <w:rPr>
          <w:rFonts w:eastAsia="Calibri" w:cs="Arial"/>
          <w:bCs/>
          <w:szCs w:val="22"/>
          <w:lang w:val="en-AU" w:bidi="ar-SA"/>
        </w:rPr>
        <w:t>s</w:t>
      </w:r>
      <w:r w:rsidR="00E1348F">
        <w:rPr>
          <w:rFonts w:eastAsia="Calibri" w:cs="Arial"/>
          <w:bCs/>
          <w:szCs w:val="22"/>
          <w:lang w:val="en-AU" w:bidi="ar-SA"/>
        </w:rPr>
        <w:t xml:space="preserve"> </w:t>
      </w:r>
      <w:r w:rsidR="00E1348F">
        <w:t>are at Attachment D</w:t>
      </w:r>
      <w:r w:rsidR="00E1348F" w:rsidRPr="00D26814">
        <w:t>.</w:t>
      </w:r>
      <w:r>
        <w:br/>
      </w:r>
      <w:bookmarkStart w:id="56" w:name="_Toc11735643"/>
      <w:bookmarkStart w:id="57" w:name="_Toc29883130"/>
      <w:bookmarkStart w:id="58" w:name="_Toc41906817"/>
      <w:bookmarkStart w:id="59" w:name="_Toc41907564"/>
      <w:bookmarkStart w:id="60" w:name="_Toc43112360"/>
      <w:r w:rsidR="0052439D">
        <w:rPr>
          <w:rFonts w:cs="Arial"/>
        </w:rPr>
        <w:br w:type="page"/>
      </w:r>
    </w:p>
    <w:p w:rsidR="00924C80" w:rsidRPr="009437E1" w:rsidRDefault="00867B23" w:rsidP="00E75054">
      <w:pPr>
        <w:pStyle w:val="Heading1"/>
      </w:pPr>
      <w:bookmarkStart w:id="61" w:name="_Toc300933452"/>
      <w:bookmarkStart w:id="62" w:name="_Toc414615582"/>
      <w:r w:rsidRPr="009437E1">
        <w:lastRenderedPageBreak/>
        <w:t>4</w:t>
      </w:r>
      <w:r w:rsidR="00924C80" w:rsidRPr="009437E1">
        <w:tab/>
        <w:t>R</w:t>
      </w:r>
      <w:bookmarkEnd w:id="61"/>
      <w:r w:rsidR="006C28E2" w:rsidRPr="009437E1">
        <w:t>eferences</w:t>
      </w:r>
      <w:bookmarkEnd w:id="62"/>
    </w:p>
    <w:p w:rsidR="00924C80" w:rsidRPr="00F83767" w:rsidRDefault="009437E1" w:rsidP="00924C80">
      <w:pPr>
        <w:rPr>
          <w:sz w:val="20"/>
          <w:szCs w:val="22"/>
        </w:rPr>
      </w:pPr>
      <w:proofErr w:type="gramStart"/>
      <w:r w:rsidRPr="00F83767">
        <w:rPr>
          <w:sz w:val="20"/>
          <w:szCs w:val="22"/>
        </w:rPr>
        <w:t>National Food Authority (1995) Code of Practice on Nutrient Claims in Food Labels and in Advertisements.</w:t>
      </w:r>
      <w:proofErr w:type="gramEnd"/>
      <w:r w:rsidRPr="00F83767">
        <w:rPr>
          <w:sz w:val="20"/>
          <w:szCs w:val="22"/>
        </w:rPr>
        <w:t xml:space="preserve"> Commonwealth of Australia</w:t>
      </w:r>
    </w:p>
    <w:bookmarkEnd w:id="56"/>
    <w:bookmarkEnd w:id="57"/>
    <w:bookmarkEnd w:id="58"/>
    <w:bookmarkEnd w:id="59"/>
    <w:bookmarkEnd w:id="60"/>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EB1C31" w:rsidRDefault="00A4175D" w:rsidP="00D14405">
      <w:pPr>
        <w:pStyle w:val="CommentText"/>
        <w:ind w:left="567" w:hanging="567"/>
      </w:pPr>
      <w:r w:rsidRPr="00EB1C31">
        <w:rPr>
          <w:sz w:val="22"/>
          <w:szCs w:val="22"/>
        </w:rPr>
        <w:t>A.</w:t>
      </w:r>
      <w:r w:rsidRPr="00EB1C31">
        <w:rPr>
          <w:sz w:val="22"/>
          <w:szCs w:val="22"/>
        </w:rPr>
        <w:tab/>
      </w:r>
      <w:r w:rsidR="00410C76" w:rsidRPr="00EB1C31">
        <w:rPr>
          <w:sz w:val="22"/>
          <w:szCs w:val="22"/>
        </w:rPr>
        <w:t xml:space="preserve">Draft </w:t>
      </w:r>
      <w:r w:rsidR="0007466A" w:rsidRPr="00EB1C31">
        <w:rPr>
          <w:sz w:val="22"/>
          <w:szCs w:val="22"/>
        </w:rPr>
        <w:t xml:space="preserve">variation to the </w:t>
      </w:r>
      <w:r w:rsidR="0007466A" w:rsidRPr="00EB1C31">
        <w:rPr>
          <w:i/>
          <w:sz w:val="22"/>
          <w:szCs w:val="22"/>
        </w:rPr>
        <w:t>Australia New Zealand Food Standards Code</w:t>
      </w:r>
      <w:r w:rsidR="00364841" w:rsidRPr="00EB1C31">
        <w:rPr>
          <w:sz w:val="22"/>
          <w:szCs w:val="22"/>
        </w:rPr>
        <w:t xml:space="preserve"> </w:t>
      </w:r>
    </w:p>
    <w:p w:rsidR="001542D8" w:rsidRDefault="00A4175D" w:rsidP="00A4175D">
      <w:pPr>
        <w:rPr>
          <w:szCs w:val="22"/>
        </w:rPr>
      </w:pPr>
      <w:r w:rsidRPr="00EB1C31">
        <w:rPr>
          <w:szCs w:val="22"/>
        </w:rPr>
        <w:t>B.</w:t>
      </w:r>
      <w:r w:rsidRPr="00EB1C31">
        <w:rPr>
          <w:szCs w:val="22"/>
        </w:rPr>
        <w:tab/>
      </w:r>
      <w:r w:rsidR="001542D8" w:rsidRPr="00EB1C31">
        <w:rPr>
          <w:szCs w:val="22"/>
        </w:rPr>
        <w:t>Draft Explanatory Statement</w:t>
      </w:r>
      <w:r w:rsidR="00E87C99">
        <w:rPr>
          <w:szCs w:val="22"/>
        </w:rPr>
        <w:t>s</w:t>
      </w:r>
    </w:p>
    <w:p w:rsidR="009C0D35" w:rsidRDefault="009C0D35" w:rsidP="009C0D35">
      <w:pPr>
        <w:ind w:left="567" w:hanging="567"/>
        <w:rPr>
          <w:color w:val="000000" w:themeColor="text1"/>
        </w:rPr>
      </w:pPr>
      <w:r>
        <w:rPr>
          <w:szCs w:val="22"/>
        </w:rPr>
        <w:t>C.</w:t>
      </w:r>
      <w:r>
        <w:rPr>
          <w:szCs w:val="22"/>
        </w:rPr>
        <w:tab/>
      </w:r>
      <w:r w:rsidRPr="006D572E">
        <w:rPr>
          <w:color w:val="000000" w:themeColor="text1"/>
        </w:rPr>
        <w:t>Draft variation</w:t>
      </w:r>
      <w:r w:rsidR="00D16979">
        <w:rPr>
          <w:color w:val="000000" w:themeColor="text1"/>
        </w:rPr>
        <w:t>s</w:t>
      </w:r>
      <w:r w:rsidRPr="006D572E">
        <w:rPr>
          <w:color w:val="000000" w:themeColor="text1"/>
        </w:rPr>
        <w:t xml:space="preserve"> to the </w:t>
      </w:r>
      <w:r w:rsidRPr="006D572E">
        <w:rPr>
          <w:i/>
          <w:color w:val="000000" w:themeColor="text1"/>
        </w:rPr>
        <w:t>Australia New Zealand Food Standards Code</w:t>
      </w:r>
      <w:r w:rsidRPr="006D572E">
        <w:rPr>
          <w:color w:val="000000" w:themeColor="text1"/>
        </w:rPr>
        <w:t xml:space="preserve"> </w:t>
      </w:r>
      <w:r w:rsidR="00E1348F">
        <w:rPr>
          <w:color w:val="000000" w:themeColor="text1"/>
        </w:rPr>
        <w:t>(from 1 March 2016)</w:t>
      </w:r>
    </w:p>
    <w:p w:rsidR="00E1348F" w:rsidRPr="00EB1C31" w:rsidRDefault="00E1348F" w:rsidP="009C0D35">
      <w:pPr>
        <w:ind w:left="567" w:hanging="567"/>
        <w:rPr>
          <w:szCs w:val="22"/>
        </w:rPr>
      </w:pPr>
      <w:r>
        <w:rPr>
          <w:szCs w:val="22"/>
        </w:rPr>
        <w:t>D.</w:t>
      </w:r>
      <w:r>
        <w:rPr>
          <w:szCs w:val="22"/>
        </w:rPr>
        <w:tab/>
      </w:r>
      <w:r w:rsidRPr="00EB1C31">
        <w:rPr>
          <w:szCs w:val="22"/>
        </w:rPr>
        <w:t>Draft Explanatory Statement</w:t>
      </w:r>
      <w:r w:rsidR="00E87C99">
        <w:rPr>
          <w:szCs w:val="22"/>
        </w:rPr>
        <w:t>s</w:t>
      </w:r>
    </w:p>
    <w:p w:rsidR="00D60568" w:rsidRPr="00E203C2" w:rsidRDefault="00D60568" w:rsidP="002432EE"/>
    <w:p w:rsidR="003C4969" w:rsidRPr="00932F14" w:rsidRDefault="003C4969" w:rsidP="00A54934">
      <w:pPr>
        <w:pStyle w:val="Heading2"/>
        <w:ind w:left="0" w:firstLine="0"/>
      </w:pPr>
      <w:r w:rsidRPr="00932F14">
        <w:br w:type="page"/>
      </w:r>
      <w:bookmarkStart w:id="63" w:name="_Toc29883131"/>
      <w:bookmarkStart w:id="64" w:name="_Toc41906818"/>
      <w:bookmarkStart w:id="65" w:name="_Toc41907565"/>
      <w:bookmarkStart w:id="66" w:name="_Toc120358596"/>
      <w:bookmarkStart w:id="67" w:name="_Toc175381458"/>
      <w:bookmarkStart w:id="68" w:name="_Toc11735644"/>
      <w:bookmarkStart w:id="69" w:name="_Toc286391017"/>
      <w:bookmarkStart w:id="70" w:name="_Toc300933453"/>
      <w:bookmarkStart w:id="71" w:name="_Toc414615583"/>
      <w:r w:rsidRPr="00932F14">
        <w:lastRenderedPageBreak/>
        <w:t xml:space="preserve">Attachment </w:t>
      </w:r>
      <w:bookmarkEnd w:id="63"/>
      <w:bookmarkEnd w:id="64"/>
      <w:bookmarkEnd w:id="65"/>
      <w:bookmarkEnd w:id="66"/>
      <w:bookmarkEnd w:id="67"/>
      <w:r w:rsidR="00456B54">
        <w:t>A</w:t>
      </w:r>
      <w:bookmarkStart w:id="72" w:name="_Toc120358597"/>
      <w:bookmarkStart w:id="73" w:name="_Toc175381459"/>
      <w:bookmarkEnd w:id="68"/>
      <w:r w:rsidR="007C174F">
        <w:t xml:space="preserve"> – </w:t>
      </w:r>
      <w:r w:rsidRPr="00932F14">
        <w:t xml:space="preserve">Draft variation to the </w:t>
      </w:r>
      <w:r w:rsidRPr="007C174F">
        <w:rPr>
          <w:i/>
        </w:rPr>
        <w:t>Australia New Zealand Food Standards Code</w:t>
      </w:r>
      <w:bookmarkEnd w:id="69"/>
      <w:bookmarkEnd w:id="70"/>
      <w:bookmarkEnd w:id="72"/>
      <w:bookmarkEnd w:id="73"/>
      <w:bookmarkEnd w:id="71"/>
    </w:p>
    <w:p w:rsidR="00F15BD6" w:rsidRPr="00C0014E" w:rsidRDefault="00F15BD6" w:rsidP="00F15BD6">
      <w:pPr>
        <w:rPr>
          <w:noProof/>
          <w:sz w:val="20"/>
          <w:lang w:val="en-AU" w:eastAsia="en-AU"/>
        </w:rPr>
      </w:pPr>
      <w:r w:rsidRPr="00C0014E">
        <w:rPr>
          <w:noProof/>
          <w:sz w:val="20"/>
          <w:lang w:eastAsia="en-GB" w:bidi="ar-SA"/>
        </w:rPr>
        <w:drawing>
          <wp:inline distT="0" distB="0" distL="0" distR="0" wp14:anchorId="0986EB00" wp14:editId="17F2182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15BD6" w:rsidRPr="006153A1" w:rsidRDefault="00F15BD6" w:rsidP="00F15BD6">
      <w:pPr>
        <w:pStyle w:val="Title"/>
        <w:pBdr>
          <w:bottom w:val="single" w:sz="4" w:space="1" w:color="auto"/>
        </w:pBdr>
        <w:rPr>
          <w:b w:val="0"/>
          <w:bCs w:val="0"/>
          <w:szCs w:val="20"/>
          <w:lang w:val="en-GB"/>
        </w:rPr>
      </w:pPr>
    </w:p>
    <w:p w:rsidR="00F15BD6" w:rsidRPr="002A7834" w:rsidRDefault="00F15BD6" w:rsidP="00F15BD6">
      <w:pPr>
        <w:pBdr>
          <w:bottom w:val="single" w:sz="4" w:space="1" w:color="auto"/>
        </w:pBdr>
        <w:rPr>
          <w:b/>
          <w:sz w:val="20"/>
        </w:rPr>
      </w:pPr>
      <w:r w:rsidRPr="006153A1">
        <w:rPr>
          <w:b/>
          <w:sz w:val="20"/>
        </w:rPr>
        <w:t>Food Standards (</w:t>
      </w:r>
      <w:r>
        <w:rPr>
          <w:b/>
          <w:sz w:val="20"/>
        </w:rPr>
        <w:t xml:space="preserve">Application A1101 </w:t>
      </w:r>
      <w:r w:rsidRPr="00A32232">
        <w:rPr>
          <w:b/>
          <w:sz w:val="20"/>
        </w:rPr>
        <w:t>–</w:t>
      </w:r>
      <w:r>
        <w:rPr>
          <w:b/>
          <w:sz w:val="20"/>
        </w:rPr>
        <w:t xml:space="preserve"> </w:t>
      </w:r>
      <w:r w:rsidRPr="008278F3">
        <w:rPr>
          <w:b/>
          <w:sz w:val="20"/>
        </w:rPr>
        <w:t>Commencement of Dietary Fibre Claim Provisions</w:t>
      </w:r>
      <w:r>
        <w:rPr>
          <w:b/>
          <w:sz w:val="20"/>
        </w:rPr>
        <w:t xml:space="preserve">) </w:t>
      </w:r>
      <w:r w:rsidRPr="002A7834">
        <w:rPr>
          <w:b/>
          <w:sz w:val="20"/>
        </w:rPr>
        <w:t xml:space="preserve">– </w:t>
      </w:r>
      <w:r w:rsidR="00D10CC8">
        <w:rPr>
          <w:b/>
          <w:sz w:val="20"/>
        </w:rPr>
        <w:t xml:space="preserve">Standard </w:t>
      </w:r>
      <w:r w:rsidR="00F56459">
        <w:rPr>
          <w:b/>
          <w:sz w:val="20"/>
        </w:rPr>
        <w:t>1.1A.8</w:t>
      </w:r>
    </w:p>
    <w:p w:rsidR="00F15BD6" w:rsidRPr="00C0014E" w:rsidRDefault="00F15BD6" w:rsidP="00F15BD6">
      <w:pPr>
        <w:pBdr>
          <w:bottom w:val="single" w:sz="4" w:space="1" w:color="auto"/>
        </w:pBdr>
        <w:rPr>
          <w:b/>
          <w:sz w:val="20"/>
        </w:rPr>
      </w:pPr>
    </w:p>
    <w:p w:rsidR="00F15BD6" w:rsidRPr="008F2616" w:rsidRDefault="00F15BD6" w:rsidP="00F15BD6">
      <w:pPr>
        <w:rPr>
          <w:sz w:val="20"/>
        </w:rPr>
      </w:pPr>
    </w:p>
    <w:p w:rsidR="00F15BD6" w:rsidRPr="009F1FDF" w:rsidRDefault="00F15BD6" w:rsidP="00F15BD6">
      <w:pPr>
        <w:pStyle w:val="Clause"/>
      </w:pPr>
      <w:r w:rsidRPr="009F1FDF">
        <w:t xml:space="preserve">The Board of Food Standards Australia New Zealand gives notice of the making of this Standard under section 92 of the </w:t>
      </w:r>
      <w:r w:rsidRPr="009F1FDF">
        <w:rPr>
          <w:i/>
        </w:rPr>
        <w:t>Food Standards Australia New Zealand Act 1991</w:t>
      </w:r>
      <w:r>
        <w:t xml:space="preserve">. </w:t>
      </w:r>
      <w:r w:rsidRPr="009F1FDF">
        <w:t xml:space="preserve">The Standard commences on </w:t>
      </w:r>
      <w:r w:rsidR="008B256F">
        <w:t>1</w:t>
      </w:r>
      <w:r w:rsidR="006E0701">
        <w:t>8</w:t>
      </w:r>
      <w:r w:rsidR="005E3707">
        <w:t xml:space="preserve"> January 2016.</w:t>
      </w:r>
    </w:p>
    <w:p w:rsidR="00F15BD6" w:rsidRPr="008F2616" w:rsidRDefault="00F15BD6" w:rsidP="00F15BD6">
      <w:pPr>
        <w:rPr>
          <w:sz w:val="20"/>
        </w:rPr>
      </w:pPr>
    </w:p>
    <w:p w:rsidR="00F15BD6" w:rsidRPr="008F2616" w:rsidRDefault="00F15BD6" w:rsidP="00F15BD6">
      <w:pPr>
        <w:rPr>
          <w:sz w:val="20"/>
        </w:rPr>
      </w:pPr>
      <w:r w:rsidRPr="008F2616">
        <w:rPr>
          <w:sz w:val="20"/>
        </w:rPr>
        <w:t xml:space="preserve">Dated </w:t>
      </w:r>
      <w:r>
        <w:rPr>
          <w:sz w:val="20"/>
        </w:rPr>
        <w:t>[To be completed by Standards Management Officer]</w:t>
      </w:r>
    </w:p>
    <w:p w:rsidR="00F15BD6" w:rsidRPr="008F2616" w:rsidRDefault="00F15BD6" w:rsidP="00F15BD6">
      <w:pPr>
        <w:rPr>
          <w:sz w:val="20"/>
        </w:rPr>
      </w:pPr>
    </w:p>
    <w:p w:rsidR="00F15BD6" w:rsidRDefault="00F15BD6" w:rsidP="00F15BD6">
      <w:pPr>
        <w:rPr>
          <w:sz w:val="20"/>
        </w:rPr>
      </w:pPr>
    </w:p>
    <w:p w:rsidR="00F15BD6" w:rsidRDefault="00F15BD6" w:rsidP="00F15BD6">
      <w:pPr>
        <w:rPr>
          <w:sz w:val="20"/>
        </w:rPr>
      </w:pPr>
    </w:p>
    <w:p w:rsidR="00F15BD6" w:rsidRPr="008F2616" w:rsidRDefault="00F15BD6" w:rsidP="00F15BD6">
      <w:pPr>
        <w:rPr>
          <w:sz w:val="20"/>
        </w:rPr>
      </w:pPr>
    </w:p>
    <w:p w:rsidR="00F15BD6" w:rsidRPr="008F2616" w:rsidRDefault="00F15BD6" w:rsidP="00F15BD6">
      <w:pPr>
        <w:rPr>
          <w:sz w:val="20"/>
        </w:rPr>
      </w:pPr>
    </w:p>
    <w:p w:rsidR="00F15BD6" w:rsidRPr="008F2616" w:rsidRDefault="00F15BD6" w:rsidP="00F15BD6">
      <w:pPr>
        <w:rPr>
          <w:sz w:val="20"/>
        </w:rPr>
      </w:pPr>
      <w:r w:rsidRPr="008F2616">
        <w:rPr>
          <w:sz w:val="20"/>
        </w:rPr>
        <w:t>Standards Management Officer</w:t>
      </w:r>
    </w:p>
    <w:p w:rsidR="00F15BD6" w:rsidRPr="008F2616" w:rsidRDefault="00F15BD6" w:rsidP="00F15BD6">
      <w:pPr>
        <w:rPr>
          <w:sz w:val="20"/>
        </w:rPr>
      </w:pPr>
      <w:r w:rsidRPr="008F2616">
        <w:rPr>
          <w:sz w:val="20"/>
        </w:rPr>
        <w:t>Delegate of the Board of Food Standards Australia New Zealand</w:t>
      </w: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Pr="00574DE1" w:rsidRDefault="00F15BD6" w:rsidP="00F15BD6">
      <w:pPr>
        <w:pStyle w:val="EditorialNoteLine1"/>
        <w:rPr>
          <w:lang w:val="en-AU"/>
        </w:rPr>
      </w:pPr>
      <w:r w:rsidRPr="00574DE1">
        <w:rPr>
          <w:lang w:val="en-AU"/>
        </w:rPr>
        <w:t xml:space="preserve">Note:  </w:t>
      </w:r>
    </w:p>
    <w:p w:rsidR="00F15BD6" w:rsidRPr="00574DE1" w:rsidRDefault="00F15BD6" w:rsidP="00F15BD6">
      <w:pPr>
        <w:pStyle w:val="EditorialNotetext"/>
        <w:rPr>
          <w:lang w:val="en-AU"/>
        </w:rPr>
      </w:pPr>
    </w:p>
    <w:p w:rsidR="00F15BD6" w:rsidRDefault="00F15BD6" w:rsidP="00F15BD6">
      <w:pPr>
        <w:pStyle w:val="EditorialNotetext"/>
        <w:rPr>
          <w:lang w:val="en-AU"/>
        </w:rPr>
      </w:pPr>
      <w:r w:rsidRPr="00574DE1">
        <w:rPr>
          <w:lang w:val="en-AU"/>
        </w:rPr>
        <w:t xml:space="preserve">This </w:t>
      </w:r>
      <w:r>
        <w:rPr>
          <w:lang w:val="en-AU"/>
        </w:rPr>
        <w:t>Standard</w:t>
      </w:r>
      <w:r w:rsidRPr="00574DE1">
        <w:rPr>
          <w:lang w:val="en-AU"/>
        </w:rPr>
        <w:t xml:space="preserve">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Pr>
          <w:lang w:val="en-AU"/>
        </w:rPr>
        <w:t xml:space="preserve"> </w:t>
      </w:r>
    </w:p>
    <w:p w:rsidR="00F15BD6" w:rsidRDefault="00F15BD6" w:rsidP="00F15BD6">
      <w:pPr>
        <w:rPr>
          <w:sz w:val="20"/>
        </w:rPr>
      </w:pPr>
    </w:p>
    <w:p w:rsidR="00D84074" w:rsidRDefault="00D84074">
      <w:pPr>
        <w:widowControl/>
        <w:rPr>
          <w:b/>
          <w:i/>
          <w:iCs/>
          <w:caps/>
          <w:sz w:val="28"/>
          <w:szCs w:val="20"/>
        </w:rPr>
      </w:pPr>
      <w:r>
        <w:br w:type="page"/>
      </w:r>
    </w:p>
    <w:p w:rsidR="00F15BD6" w:rsidRPr="00832E7D" w:rsidRDefault="00F15BD6" w:rsidP="00F15BD6">
      <w:pPr>
        <w:pStyle w:val="Standardtitle"/>
      </w:pPr>
      <w:r w:rsidRPr="00832E7D">
        <w:lastRenderedPageBreak/>
        <w:t xml:space="preserve">STANDARD </w:t>
      </w:r>
      <w:r w:rsidR="00F56459">
        <w:t>1.1A.8</w:t>
      </w:r>
      <w:r>
        <w:t xml:space="preserve"> </w:t>
      </w:r>
    </w:p>
    <w:p w:rsidR="00F15BD6" w:rsidRPr="0003668F" w:rsidRDefault="00F15BD6" w:rsidP="00F15BD6">
      <w:pPr>
        <w:rPr>
          <w:sz w:val="20"/>
        </w:rPr>
      </w:pPr>
    </w:p>
    <w:p w:rsidR="00F15BD6" w:rsidRPr="00832E7D" w:rsidRDefault="00F15BD6" w:rsidP="00F15BD6">
      <w:pPr>
        <w:pStyle w:val="Standardtitle"/>
      </w:pPr>
      <w:r>
        <w:t>transitional standard for dietARy fibre nutrition content claims</w:t>
      </w:r>
    </w:p>
    <w:p w:rsidR="00F15BD6" w:rsidRPr="0003668F" w:rsidRDefault="00F15BD6" w:rsidP="00F15BD6">
      <w:pPr>
        <w:pStyle w:val="TitleBorder"/>
      </w:pPr>
    </w:p>
    <w:p w:rsidR="00F15BD6" w:rsidRPr="0003668F" w:rsidRDefault="00F15BD6" w:rsidP="00F15BD6">
      <w:pPr>
        <w:rPr>
          <w:rFonts w:cs="Arial"/>
          <w:sz w:val="20"/>
        </w:rPr>
      </w:pPr>
    </w:p>
    <w:p w:rsidR="00F15BD6" w:rsidRPr="008A391F" w:rsidRDefault="00F15BD6" w:rsidP="00F15BD6">
      <w:pPr>
        <w:pStyle w:val="Clauseheading"/>
        <w:rPr>
          <w:rFonts w:cs="Arial"/>
        </w:rPr>
      </w:pPr>
      <w:r w:rsidRPr="008A391F">
        <w:t xml:space="preserve">Purpose </w:t>
      </w:r>
    </w:p>
    <w:p w:rsidR="00F15BD6" w:rsidRDefault="00F15BD6" w:rsidP="00F15BD6">
      <w:pPr>
        <w:pStyle w:val="Clause"/>
      </w:pPr>
    </w:p>
    <w:p w:rsidR="00F15BD6" w:rsidRDefault="00F15BD6" w:rsidP="00F15BD6">
      <w:pPr>
        <w:pStyle w:val="Clause"/>
      </w:pPr>
      <w:r w:rsidRPr="0003668F">
        <w:t>This Standard</w:t>
      </w:r>
      <w:r>
        <w:t xml:space="preserve"> </w:t>
      </w:r>
      <w:r w:rsidR="008459B9">
        <w:t>provides</w:t>
      </w:r>
      <w:r w:rsidR="008459B9" w:rsidRPr="00BC5B73">
        <w:t xml:space="preserve"> </w:t>
      </w:r>
      <w:r w:rsidRPr="00BC5B73">
        <w:t xml:space="preserve">a transitional </w:t>
      </w:r>
      <w:r w:rsidR="008459B9">
        <w:t>arrangement</w:t>
      </w:r>
      <w:r w:rsidR="008459B9" w:rsidRPr="00BC5B73">
        <w:t xml:space="preserve"> </w:t>
      </w:r>
      <w:r w:rsidRPr="00BC5B73">
        <w:t xml:space="preserve">that operates concurrently with Standard 1.2.7 for a specified period to permit </w:t>
      </w:r>
      <w:r>
        <w:t xml:space="preserve">certain </w:t>
      </w:r>
      <w:r w:rsidRPr="00BC5B73">
        <w:t xml:space="preserve">nutrition content claims about the presence </w:t>
      </w:r>
      <w:r>
        <w:t xml:space="preserve">or absence </w:t>
      </w:r>
      <w:r w:rsidRPr="00BC5B73">
        <w:t xml:space="preserve">of dietary fibre to be made </w:t>
      </w:r>
      <w:r>
        <w:t>during</w:t>
      </w:r>
      <w:r w:rsidRPr="00BC5B73">
        <w:t xml:space="preserve"> that period</w:t>
      </w:r>
      <w:r>
        <w:t>.</w:t>
      </w:r>
    </w:p>
    <w:p w:rsidR="00D10CC8" w:rsidRDefault="00D10CC8" w:rsidP="00D10CC8"/>
    <w:p w:rsidR="00F15BD6" w:rsidRPr="00826B12" w:rsidRDefault="00F15BD6" w:rsidP="00F15BD6">
      <w:pPr>
        <w:pStyle w:val="Clauseheading"/>
      </w:pPr>
      <w:r w:rsidRPr="00826B12">
        <w:t>Clauses</w:t>
      </w:r>
    </w:p>
    <w:p w:rsidR="00F15BD6" w:rsidRPr="002A7834" w:rsidRDefault="00F15BD6" w:rsidP="00F15BD6">
      <w:pPr>
        <w:rPr>
          <w:b/>
          <w:sz w:val="20"/>
        </w:rPr>
      </w:pPr>
    </w:p>
    <w:p w:rsidR="00F15BD6" w:rsidRPr="002A7834" w:rsidRDefault="00F15BD6" w:rsidP="00F15BD6">
      <w:pPr>
        <w:pStyle w:val="Clauseheading"/>
      </w:pPr>
      <w:r w:rsidRPr="002A7834">
        <w:t>1</w:t>
      </w:r>
      <w:r w:rsidRPr="002A7834">
        <w:tab/>
      </w:r>
      <w:r>
        <w:t xml:space="preserve">Transitional Arrangement </w:t>
      </w:r>
    </w:p>
    <w:p w:rsidR="00F15BD6" w:rsidRPr="002A7834" w:rsidRDefault="00F15BD6" w:rsidP="00F15BD6">
      <w:pPr>
        <w:pStyle w:val="Clause"/>
      </w:pPr>
    </w:p>
    <w:p w:rsidR="00F15BD6" w:rsidRPr="00536A8B" w:rsidRDefault="00764F69" w:rsidP="00D84074">
      <w:pPr>
        <w:pStyle w:val="ListParagraph"/>
        <w:widowControl/>
        <w:numPr>
          <w:ilvl w:val="0"/>
          <w:numId w:val="14"/>
        </w:numPr>
        <w:tabs>
          <w:tab w:val="left" w:pos="851"/>
        </w:tabs>
        <w:ind w:left="0" w:firstLine="0"/>
        <w:rPr>
          <w:sz w:val="20"/>
          <w:szCs w:val="20"/>
        </w:rPr>
      </w:pPr>
      <w:r>
        <w:rPr>
          <w:sz w:val="20"/>
          <w:szCs w:val="20"/>
        </w:rPr>
        <w:t>During the transitional period, a</w:t>
      </w:r>
      <w:r w:rsidRPr="00536A8B">
        <w:rPr>
          <w:sz w:val="20"/>
          <w:szCs w:val="20"/>
        </w:rPr>
        <w:t xml:space="preserve"> </w:t>
      </w:r>
      <w:r w:rsidR="00F15BD6" w:rsidRPr="00536A8B">
        <w:rPr>
          <w:sz w:val="20"/>
          <w:szCs w:val="20"/>
        </w:rPr>
        <w:t>claim about the presence or absence of dietary fibre in a food must comply with clause 11 of Standard 1.2.7 or clause 2 of this Standard, but not a combination of both.</w:t>
      </w:r>
    </w:p>
    <w:p w:rsidR="00F15BD6" w:rsidRPr="00536A8B" w:rsidRDefault="00F15BD6" w:rsidP="00F15BD6">
      <w:pPr>
        <w:pStyle w:val="ListParagraph"/>
        <w:ind w:left="0"/>
        <w:rPr>
          <w:sz w:val="20"/>
          <w:szCs w:val="20"/>
        </w:rPr>
      </w:pPr>
    </w:p>
    <w:p w:rsidR="00F15BD6" w:rsidRDefault="00F15BD6" w:rsidP="00D84074">
      <w:pPr>
        <w:pStyle w:val="ListParagraph"/>
        <w:widowControl/>
        <w:numPr>
          <w:ilvl w:val="0"/>
          <w:numId w:val="14"/>
        </w:numPr>
        <w:tabs>
          <w:tab w:val="left" w:pos="851"/>
        </w:tabs>
        <w:ind w:left="0" w:firstLine="0"/>
        <w:rPr>
          <w:sz w:val="20"/>
          <w:szCs w:val="20"/>
        </w:rPr>
      </w:pPr>
      <w:r w:rsidRPr="00536A8B">
        <w:rPr>
          <w:sz w:val="20"/>
          <w:szCs w:val="20"/>
        </w:rPr>
        <w:t>To avoid doubt, this Standard only relates to the application of clause 11 of Standard 1.2.7 and does not affect the application of any other clause of Standard 1.2.7.</w:t>
      </w:r>
    </w:p>
    <w:p w:rsidR="00F15BD6" w:rsidRPr="00EF5091" w:rsidRDefault="00F15BD6" w:rsidP="00F15BD6">
      <w:pPr>
        <w:pStyle w:val="ListParagraph"/>
        <w:rPr>
          <w:sz w:val="20"/>
          <w:szCs w:val="20"/>
        </w:rPr>
      </w:pPr>
    </w:p>
    <w:p w:rsidR="00F15BD6" w:rsidRPr="00A22B67" w:rsidRDefault="00F15BD6" w:rsidP="00F15BD6">
      <w:pPr>
        <w:pStyle w:val="Subclause"/>
        <w:numPr>
          <w:ilvl w:val="0"/>
          <w:numId w:val="14"/>
        </w:numPr>
        <w:ind w:left="0" w:firstLine="0"/>
      </w:pPr>
      <w:r>
        <w:rPr>
          <w:rFonts w:cs="Arial"/>
          <w:lang w:eastAsia="en-GB"/>
        </w:rPr>
        <w:t>Subclause 1(2) of Standard 1.1.1 does not apply to this Standard.</w:t>
      </w:r>
    </w:p>
    <w:p w:rsidR="00764F69" w:rsidRDefault="00764F69" w:rsidP="00A22B67">
      <w:pPr>
        <w:pStyle w:val="ListParagraph"/>
      </w:pPr>
    </w:p>
    <w:p w:rsidR="00764F69" w:rsidRPr="00A22B67" w:rsidRDefault="00764F69" w:rsidP="00A22B67">
      <w:pPr>
        <w:pStyle w:val="Subclause"/>
        <w:numPr>
          <w:ilvl w:val="0"/>
          <w:numId w:val="14"/>
        </w:numPr>
        <w:ind w:left="1701" w:hanging="1701"/>
      </w:pPr>
      <w:r>
        <w:t xml:space="preserve">In this clause </w:t>
      </w:r>
      <w:r>
        <w:rPr>
          <w:rFonts w:ascii="ArialMT" w:hAnsi="ArialMT" w:cs="ArialMT"/>
          <w:lang w:eastAsia="en-GB"/>
        </w:rPr>
        <w:t>–</w:t>
      </w:r>
    </w:p>
    <w:p w:rsidR="00764F69" w:rsidRDefault="00764F69" w:rsidP="00A22B67">
      <w:pPr>
        <w:pStyle w:val="ListParagraph"/>
        <w:rPr>
          <w:b/>
        </w:rPr>
      </w:pPr>
    </w:p>
    <w:p w:rsidR="00764F69" w:rsidRDefault="00764F69" w:rsidP="00A22B67">
      <w:pPr>
        <w:pStyle w:val="Subclause"/>
        <w:tabs>
          <w:tab w:val="clear" w:pos="851"/>
        </w:tabs>
        <w:ind w:left="1701" w:hanging="850"/>
      </w:pPr>
      <w:proofErr w:type="gramStart"/>
      <w:r w:rsidRPr="00A22B67">
        <w:rPr>
          <w:b/>
        </w:rPr>
        <w:t>transitional</w:t>
      </w:r>
      <w:proofErr w:type="gramEnd"/>
      <w:r w:rsidRPr="00A22B67">
        <w:rPr>
          <w:b/>
        </w:rPr>
        <w:t xml:space="preserve"> period</w:t>
      </w:r>
      <w:r>
        <w:t xml:space="preserve"> </w:t>
      </w:r>
      <w:r w:rsidRPr="003056D5">
        <w:rPr>
          <w:rFonts w:cs="Arial"/>
          <w:lang w:eastAsia="en-GB"/>
        </w:rPr>
        <w:t xml:space="preserve">means </w:t>
      </w:r>
      <w:r>
        <w:rPr>
          <w:rFonts w:cs="Arial"/>
          <w:lang w:eastAsia="en-GB"/>
        </w:rPr>
        <w:t xml:space="preserve">the period commencing </w:t>
      </w:r>
      <w:r>
        <w:t xml:space="preserve">on 18 January </w:t>
      </w:r>
      <w:r w:rsidRPr="008D3F23">
        <w:t xml:space="preserve">2016 and </w:t>
      </w:r>
      <w:r w:rsidR="000307C4">
        <w:t xml:space="preserve">ending </w:t>
      </w:r>
      <w:r w:rsidR="00A16FA8">
        <w:t>on 1 March 2016</w:t>
      </w:r>
      <w:r w:rsidR="007E0100">
        <w:t>.</w:t>
      </w:r>
    </w:p>
    <w:p w:rsidR="00F15BD6" w:rsidRPr="00536A8B" w:rsidRDefault="00F15BD6" w:rsidP="00F15BD6">
      <w:pPr>
        <w:pStyle w:val="ListParagraph"/>
        <w:ind w:left="0"/>
        <w:rPr>
          <w:sz w:val="20"/>
          <w:szCs w:val="20"/>
        </w:rPr>
      </w:pPr>
    </w:p>
    <w:p w:rsidR="00F15BD6" w:rsidRPr="002A7834" w:rsidRDefault="00F15BD6" w:rsidP="00F15BD6">
      <w:pPr>
        <w:pStyle w:val="Clauseheading"/>
      </w:pPr>
      <w:r w:rsidRPr="002A7834">
        <w:t>2</w:t>
      </w:r>
      <w:r w:rsidRPr="002A7834">
        <w:tab/>
      </w:r>
      <w:r>
        <w:t>Transitional Requirements for Dietary Fibre Nutrition Content Claims</w:t>
      </w:r>
    </w:p>
    <w:p w:rsidR="00F15BD6" w:rsidRPr="003056D5" w:rsidRDefault="00F15BD6" w:rsidP="00F15BD6">
      <w:pPr>
        <w:pStyle w:val="Subclause"/>
        <w:rPr>
          <w:rFonts w:eastAsiaTheme="minorHAnsi" w:cs="Arial"/>
        </w:rPr>
      </w:pPr>
      <w:r w:rsidRPr="00536A8B">
        <w:br/>
      </w:r>
      <w:r>
        <w:rPr>
          <w:rFonts w:eastAsiaTheme="minorHAnsi" w:cstheme="minorBidi"/>
        </w:rPr>
        <w:t>(1</w:t>
      </w:r>
      <w:r w:rsidR="00D84074">
        <w:rPr>
          <w:rFonts w:eastAsiaTheme="minorHAnsi" w:cstheme="minorBidi"/>
        </w:rPr>
        <w:t>)</w:t>
      </w:r>
      <w:r w:rsidRPr="00536A8B">
        <w:rPr>
          <w:rFonts w:eastAsiaTheme="minorHAnsi" w:cstheme="minorBidi"/>
        </w:rPr>
        <w:tab/>
      </w:r>
      <w:r w:rsidRPr="003056D5">
        <w:rPr>
          <w:rFonts w:eastAsiaTheme="minorHAnsi" w:cs="Arial"/>
        </w:rPr>
        <w:t xml:space="preserve">A claim </w:t>
      </w:r>
      <w:r w:rsidRPr="003056D5">
        <w:rPr>
          <w:rFonts w:cs="Arial"/>
        </w:rPr>
        <w:t>about the presence or absence of dietary fibre</w:t>
      </w:r>
      <w:r w:rsidRPr="003056D5">
        <w:rPr>
          <w:rFonts w:eastAsiaTheme="minorHAnsi" w:cs="Arial"/>
        </w:rPr>
        <w:t xml:space="preserve"> in a food may use any descriptor that is not mentioned in subclause (2), including a descriptor expressed as a number or in numeric form.</w:t>
      </w:r>
    </w:p>
    <w:p w:rsidR="00F15BD6" w:rsidRPr="003056D5" w:rsidRDefault="00F15BD6" w:rsidP="00F15BD6">
      <w:pPr>
        <w:pStyle w:val="Subclause"/>
        <w:rPr>
          <w:rFonts w:eastAsiaTheme="minorHAnsi" w:cs="Arial"/>
        </w:rPr>
      </w:pPr>
    </w:p>
    <w:p w:rsidR="00F15BD6" w:rsidRPr="003056D5" w:rsidRDefault="00F15BD6" w:rsidP="00D84074">
      <w:pPr>
        <w:tabs>
          <w:tab w:val="left" w:pos="851"/>
        </w:tabs>
        <w:rPr>
          <w:rFonts w:eastAsiaTheme="minorHAnsi" w:cs="Arial"/>
          <w:sz w:val="20"/>
        </w:rPr>
      </w:pPr>
      <w:r w:rsidRPr="003056D5">
        <w:rPr>
          <w:rFonts w:eastAsiaTheme="minorHAnsi" w:cs="Arial"/>
          <w:sz w:val="20"/>
        </w:rPr>
        <w:t>(2)</w:t>
      </w:r>
      <w:r w:rsidRPr="003056D5">
        <w:rPr>
          <w:rFonts w:eastAsiaTheme="minorHAnsi" w:cs="Arial"/>
          <w:sz w:val="20"/>
        </w:rPr>
        <w:tab/>
        <w:t xml:space="preserve">If </w:t>
      </w:r>
      <w:r>
        <w:rPr>
          <w:rFonts w:eastAsiaTheme="minorHAnsi" w:cs="Arial"/>
          <w:sz w:val="20"/>
        </w:rPr>
        <w:t xml:space="preserve">a </w:t>
      </w:r>
      <w:r w:rsidRPr="003056D5">
        <w:rPr>
          <w:rFonts w:cs="Arial"/>
          <w:sz w:val="20"/>
        </w:rPr>
        <w:t xml:space="preserve">claim about the presence of dietary fibre in a food </w:t>
      </w:r>
      <w:r w:rsidRPr="003056D5">
        <w:rPr>
          <w:rFonts w:eastAsiaTheme="minorHAnsi" w:cs="Arial"/>
          <w:sz w:val="20"/>
        </w:rPr>
        <w:t xml:space="preserve">uses the descriptor ‘increased’ or a synonym of that descriptor, </w:t>
      </w:r>
      <w:r w:rsidRPr="003056D5">
        <w:rPr>
          <w:rFonts w:cs="Arial"/>
          <w:sz w:val="20"/>
        </w:rPr>
        <w:t xml:space="preserve">that food </w:t>
      </w:r>
      <w:r w:rsidRPr="003056D5">
        <w:rPr>
          <w:rFonts w:eastAsiaTheme="minorHAnsi" w:cs="Arial"/>
          <w:sz w:val="20"/>
        </w:rPr>
        <w:t xml:space="preserve">must </w:t>
      </w:r>
      <w:r w:rsidRPr="003056D5">
        <w:rPr>
          <w:rFonts w:eastAsiaTheme="minorHAnsi" w:cs="Arial"/>
          <w:bCs/>
          <w:sz w:val="20"/>
          <w:lang w:eastAsia="en-AU"/>
        </w:rPr>
        <w:t>contain at least 25% more dietary fibre than in the same quantity of reference food</w:t>
      </w:r>
      <w:r w:rsidRPr="003056D5">
        <w:rPr>
          <w:rFonts w:eastAsiaTheme="minorHAnsi" w:cs="Arial"/>
          <w:sz w:val="20"/>
        </w:rPr>
        <w:t>.</w:t>
      </w:r>
    </w:p>
    <w:p w:rsidR="00F15BD6" w:rsidRPr="003056D5" w:rsidRDefault="00F15BD6" w:rsidP="00F15BD6">
      <w:pPr>
        <w:rPr>
          <w:rFonts w:eastAsiaTheme="minorHAnsi" w:cs="Arial"/>
          <w:sz w:val="20"/>
        </w:rPr>
      </w:pPr>
    </w:p>
    <w:p w:rsidR="00F15BD6" w:rsidRDefault="00F15BD6" w:rsidP="00D84074">
      <w:pPr>
        <w:widowControl/>
        <w:tabs>
          <w:tab w:val="left" w:pos="851"/>
        </w:tabs>
        <w:autoSpaceDE w:val="0"/>
        <w:autoSpaceDN w:val="0"/>
        <w:adjustRightInd w:val="0"/>
        <w:rPr>
          <w:rFonts w:eastAsiaTheme="minorHAnsi" w:cs="Arial"/>
          <w:sz w:val="20"/>
        </w:rPr>
      </w:pPr>
      <w:r w:rsidRPr="003056D5">
        <w:rPr>
          <w:rFonts w:eastAsiaTheme="minorHAnsi" w:cs="Arial"/>
          <w:sz w:val="20"/>
        </w:rPr>
        <w:t>(3)</w:t>
      </w:r>
      <w:r w:rsidRPr="003056D5">
        <w:rPr>
          <w:rFonts w:eastAsiaTheme="minorHAnsi" w:cs="Arial"/>
          <w:sz w:val="20"/>
        </w:rPr>
        <w:tab/>
      </w:r>
      <w:r>
        <w:rPr>
          <w:rFonts w:eastAsiaTheme="minorHAnsi" w:cs="Arial"/>
          <w:sz w:val="20"/>
        </w:rPr>
        <w:t xml:space="preserve">In this clause </w:t>
      </w:r>
      <w:r>
        <w:rPr>
          <w:rFonts w:ascii="ArialMT" w:hAnsi="ArialMT" w:cs="ArialMT"/>
          <w:sz w:val="20"/>
          <w:lang w:eastAsia="en-GB"/>
        </w:rPr>
        <w:t>–</w:t>
      </w:r>
    </w:p>
    <w:p w:rsidR="00F15BD6" w:rsidRDefault="00F15BD6" w:rsidP="00F15BD6">
      <w:pPr>
        <w:widowControl/>
        <w:autoSpaceDE w:val="0"/>
        <w:autoSpaceDN w:val="0"/>
        <w:adjustRightInd w:val="0"/>
        <w:rPr>
          <w:rFonts w:eastAsiaTheme="minorHAnsi" w:cs="Arial"/>
          <w:b/>
          <w:sz w:val="20"/>
        </w:rPr>
      </w:pPr>
    </w:p>
    <w:p w:rsidR="00F15BD6" w:rsidRPr="003A0817" w:rsidRDefault="00F15BD6" w:rsidP="00F15BD6">
      <w:pPr>
        <w:widowControl/>
        <w:autoSpaceDE w:val="0"/>
        <w:autoSpaceDN w:val="0"/>
        <w:adjustRightInd w:val="0"/>
        <w:ind w:left="1701" w:hanging="850"/>
        <w:rPr>
          <w:rFonts w:eastAsiaTheme="minorHAnsi" w:cs="Arial"/>
          <w:sz w:val="20"/>
        </w:rPr>
      </w:pPr>
      <w:proofErr w:type="gramStart"/>
      <w:r>
        <w:rPr>
          <w:rFonts w:eastAsiaTheme="minorHAnsi" w:cs="Arial"/>
          <w:b/>
          <w:sz w:val="20"/>
        </w:rPr>
        <w:t>food</w:t>
      </w:r>
      <w:proofErr w:type="gramEnd"/>
      <w:r>
        <w:rPr>
          <w:rFonts w:eastAsiaTheme="minorHAnsi" w:cs="Arial"/>
          <w:b/>
          <w:sz w:val="20"/>
        </w:rPr>
        <w:t xml:space="preserve"> group </w:t>
      </w:r>
      <w:r>
        <w:rPr>
          <w:rFonts w:eastAsiaTheme="minorHAnsi" w:cs="Arial"/>
          <w:sz w:val="20"/>
        </w:rPr>
        <w:t>has the same mean</w:t>
      </w:r>
      <w:r w:rsidRPr="003A0817">
        <w:rPr>
          <w:rFonts w:eastAsiaTheme="minorHAnsi" w:cs="Arial"/>
          <w:sz w:val="20"/>
        </w:rPr>
        <w:t>ing as in Standard 1.2.7</w:t>
      </w:r>
      <w:r>
        <w:rPr>
          <w:rFonts w:eastAsiaTheme="minorHAnsi" w:cs="Arial"/>
          <w:sz w:val="20"/>
        </w:rPr>
        <w:t>.</w:t>
      </w:r>
    </w:p>
    <w:p w:rsidR="00F15BD6" w:rsidRDefault="00F15BD6" w:rsidP="00F15BD6">
      <w:pPr>
        <w:widowControl/>
        <w:autoSpaceDE w:val="0"/>
        <w:autoSpaceDN w:val="0"/>
        <w:adjustRightInd w:val="0"/>
        <w:ind w:left="1701" w:hanging="850"/>
        <w:rPr>
          <w:rFonts w:eastAsiaTheme="minorHAnsi" w:cs="Arial"/>
          <w:b/>
          <w:sz w:val="20"/>
        </w:rPr>
      </w:pPr>
    </w:p>
    <w:p w:rsidR="00F15BD6" w:rsidRPr="003056D5" w:rsidRDefault="00F15BD6" w:rsidP="00F15BD6">
      <w:pPr>
        <w:widowControl/>
        <w:autoSpaceDE w:val="0"/>
        <w:autoSpaceDN w:val="0"/>
        <w:adjustRightInd w:val="0"/>
        <w:ind w:left="1701" w:hanging="850"/>
        <w:rPr>
          <w:rFonts w:cs="Arial"/>
          <w:sz w:val="20"/>
          <w:lang w:eastAsia="en-GB"/>
        </w:rPr>
      </w:pPr>
      <w:proofErr w:type="gramStart"/>
      <w:r w:rsidRPr="003056D5">
        <w:rPr>
          <w:rFonts w:eastAsiaTheme="minorHAnsi" w:cs="Arial"/>
          <w:b/>
          <w:sz w:val="20"/>
        </w:rPr>
        <w:t>reference</w:t>
      </w:r>
      <w:proofErr w:type="gramEnd"/>
      <w:r w:rsidRPr="003056D5">
        <w:rPr>
          <w:rFonts w:eastAsiaTheme="minorHAnsi" w:cs="Arial"/>
          <w:b/>
          <w:sz w:val="20"/>
        </w:rPr>
        <w:t xml:space="preserve"> food</w:t>
      </w:r>
      <w:r w:rsidRPr="003056D5">
        <w:rPr>
          <w:rFonts w:eastAsiaTheme="minorHAnsi" w:cs="Arial"/>
          <w:sz w:val="20"/>
        </w:rPr>
        <w:t xml:space="preserve"> </w:t>
      </w:r>
      <w:r w:rsidRPr="003056D5">
        <w:rPr>
          <w:rFonts w:cs="Arial"/>
          <w:sz w:val="20"/>
          <w:lang w:eastAsia="en-GB"/>
        </w:rPr>
        <w:t>means a food that is –</w:t>
      </w:r>
    </w:p>
    <w:p w:rsidR="00F15BD6" w:rsidRPr="003056D5" w:rsidRDefault="00F15BD6" w:rsidP="00F15BD6">
      <w:pPr>
        <w:widowControl/>
        <w:autoSpaceDE w:val="0"/>
        <w:autoSpaceDN w:val="0"/>
        <w:adjustRightInd w:val="0"/>
        <w:ind w:left="1701" w:hanging="850"/>
        <w:rPr>
          <w:rFonts w:cs="Arial"/>
          <w:sz w:val="20"/>
          <w:lang w:eastAsia="en-GB"/>
        </w:rPr>
      </w:pPr>
      <w:r w:rsidRPr="003056D5">
        <w:rPr>
          <w:rFonts w:cs="Arial"/>
          <w:sz w:val="20"/>
          <w:lang w:eastAsia="en-GB"/>
        </w:rPr>
        <w:t xml:space="preserve">(a) </w:t>
      </w:r>
      <w:r w:rsidRPr="003056D5">
        <w:rPr>
          <w:rFonts w:cs="Arial"/>
          <w:sz w:val="20"/>
          <w:lang w:eastAsia="en-GB"/>
        </w:rPr>
        <w:tab/>
        <w:t>of the same type as the food for which a claim is made and that has not been further processed, formulated, reformulated or modified to increase or decrease the amount of dietary fibre; or</w:t>
      </w:r>
    </w:p>
    <w:p w:rsidR="00F15BD6" w:rsidRPr="003056D5" w:rsidRDefault="00F15BD6" w:rsidP="00F15BD6">
      <w:pPr>
        <w:widowControl/>
        <w:autoSpaceDE w:val="0"/>
        <w:autoSpaceDN w:val="0"/>
        <w:adjustRightInd w:val="0"/>
        <w:ind w:left="1701" w:hanging="850"/>
        <w:rPr>
          <w:rFonts w:cs="Arial"/>
          <w:sz w:val="20"/>
          <w:lang w:eastAsia="en-GB"/>
        </w:rPr>
      </w:pPr>
      <w:r w:rsidRPr="003056D5">
        <w:rPr>
          <w:rFonts w:cs="Arial"/>
          <w:sz w:val="20"/>
          <w:lang w:eastAsia="en-GB"/>
        </w:rPr>
        <w:t xml:space="preserve">(b) </w:t>
      </w:r>
      <w:r w:rsidRPr="003056D5">
        <w:rPr>
          <w:rFonts w:cs="Arial"/>
          <w:sz w:val="20"/>
          <w:lang w:eastAsia="en-GB"/>
        </w:rPr>
        <w:tab/>
      </w:r>
      <w:proofErr w:type="gramStart"/>
      <w:r w:rsidRPr="003056D5">
        <w:rPr>
          <w:rFonts w:cs="Arial"/>
          <w:sz w:val="20"/>
          <w:lang w:eastAsia="en-GB"/>
        </w:rPr>
        <w:t>a</w:t>
      </w:r>
      <w:proofErr w:type="gramEnd"/>
      <w:r w:rsidRPr="003056D5">
        <w:rPr>
          <w:rFonts w:cs="Arial"/>
          <w:sz w:val="20"/>
          <w:lang w:eastAsia="en-GB"/>
        </w:rPr>
        <w:t xml:space="preserve"> dietary substitute for the food in the same food group as the food for which a claim is made</w:t>
      </w:r>
      <w:r w:rsidRPr="003056D5">
        <w:rPr>
          <w:rFonts w:eastAsiaTheme="minorHAnsi" w:cs="Arial"/>
          <w:sz w:val="20"/>
        </w:rPr>
        <w:t>.</w:t>
      </w:r>
    </w:p>
    <w:p w:rsidR="00F15BD6" w:rsidRDefault="00F15BD6" w:rsidP="00F15BD6">
      <w:pPr>
        <w:pStyle w:val="Subclause"/>
      </w:pPr>
    </w:p>
    <w:p w:rsidR="00192D9F" w:rsidRDefault="00192D9F" w:rsidP="00192D9F">
      <w:pPr>
        <w:pStyle w:val="Subclause"/>
      </w:pPr>
    </w:p>
    <w:p w:rsidR="00F15BD6" w:rsidRDefault="00F15BD6" w:rsidP="00F15BD6">
      <w:pPr>
        <w:pStyle w:val="Subclause"/>
      </w:pPr>
    </w:p>
    <w:p w:rsidR="00F15BD6" w:rsidRDefault="00F15BD6" w:rsidP="00F15BD6">
      <w:pPr>
        <w:pStyle w:val="Subclause"/>
      </w:pPr>
    </w:p>
    <w:p w:rsidR="00F15BD6" w:rsidRDefault="00F15BD6" w:rsidP="00F15BD6">
      <w:pPr>
        <w:pStyle w:val="Subclause"/>
      </w:pPr>
    </w:p>
    <w:p w:rsidR="00F15BD6" w:rsidRDefault="00F15BD6">
      <w:pPr>
        <w:widowControl/>
        <w:rPr>
          <w:noProof/>
          <w:sz w:val="20"/>
          <w:lang w:val="en-AU" w:eastAsia="en-AU"/>
        </w:rPr>
      </w:pPr>
      <w:r>
        <w:rPr>
          <w:noProof/>
          <w:sz w:val="20"/>
          <w:lang w:val="en-AU" w:eastAsia="en-AU"/>
        </w:rPr>
        <w:br w:type="page"/>
      </w:r>
    </w:p>
    <w:p w:rsidR="00F15BD6" w:rsidRPr="00C0014E" w:rsidRDefault="00F15BD6" w:rsidP="00F15BD6">
      <w:pPr>
        <w:rPr>
          <w:noProof/>
          <w:sz w:val="20"/>
          <w:lang w:val="en-AU" w:eastAsia="en-AU"/>
        </w:rPr>
      </w:pPr>
      <w:r w:rsidRPr="00C0014E">
        <w:rPr>
          <w:noProof/>
          <w:sz w:val="20"/>
          <w:lang w:eastAsia="en-GB" w:bidi="ar-SA"/>
        </w:rPr>
        <w:lastRenderedPageBreak/>
        <w:drawing>
          <wp:inline distT="0" distB="0" distL="0" distR="0" wp14:anchorId="3D961A2A" wp14:editId="4276905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15BD6" w:rsidRPr="00DC07D2" w:rsidRDefault="00F15BD6" w:rsidP="00F15BD6">
      <w:pPr>
        <w:rPr>
          <w:sz w:val="20"/>
        </w:rPr>
      </w:pPr>
    </w:p>
    <w:p w:rsidR="00F15BD6" w:rsidRDefault="00F15BD6" w:rsidP="00F15BD6">
      <w:pPr>
        <w:pBdr>
          <w:bottom w:val="single" w:sz="4" w:space="1" w:color="auto"/>
        </w:pBdr>
        <w:rPr>
          <w:b/>
          <w:sz w:val="20"/>
        </w:rPr>
      </w:pPr>
      <w:r>
        <w:rPr>
          <w:b/>
          <w:sz w:val="20"/>
        </w:rPr>
        <w:t>Food Standards (Application A1101 – Commencement of Dietary Fibre Claim Provisions – Consequential)</w:t>
      </w:r>
      <w:r w:rsidRPr="00C0014E">
        <w:rPr>
          <w:b/>
          <w:sz w:val="20"/>
        </w:rPr>
        <w:t xml:space="preserve"> Variation</w:t>
      </w:r>
    </w:p>
    <w:p w:rsidR="00F15BD6" w:rsidRPr="00C0014E" w:rsidRDefault="00F15BD6" w:rsidP="00F15BD6">
      <w:pPr>
        <w:pBdr>
          <w:bottom w:val="single" w:sz="4" w:space="1" w:color="auto"/>
        </w:pBdr>
        <w:rPr>
          <w:b/>
          <w:sz w:val="20"/>
        </w:rPr>
      </w:pPr>
    </w:p>
    <w:p w:rsidR="00F15BD6" w:rsidRPr="008F2616" w:rsidRDefault="00F15BD6" w:rsidP="00F15BD6">
      <w:pPr>
        <w:rPr>
          <w:sz w:val="20"/>
        </w:rPr>
      </w:pPr>
    </w:p>
    <w:p w:rsidR="00F15BD6" w:rsidRPr="008F2616" w:rsidRDefault="00F15BD6" w:rsidP="00F15BD6">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The Standard commences on the date specified in clause 3 of this variation.</w:t>
      </w:r>
    </w:p>
    <w:p w:rsidR="00F15BD6" w:rsidRPr="008F2616" w:rsidRDefault="00F15BD6" w:rsidP="00F15BD6">
      <w:pPr>
        <w:rPr>
          <w:sz w:val="20"/>
        </w:rPr>
      </w:pPr>
    </w:p>
    <w:p w:rsidR="00F15BD6" w:rsidRPr="008F2616" w:rsidRDefault="00F15BD6" w:rsidP="00F15BD6">
      <w:pPr>
        <w:rPr>
          <w:sz w:val="20"/>
        </w:rPr>
      </w:pPr>
      <w:r w:rsidRPr="008F2616">
        <w:rPr>
          <w:sz w:val="20"/>
        </w:rPr>
        <w:t xml:space="preserve">Dated </w:t>
      </w:r>
      <w:r>
        <w:rPr>
          <w:sz w:val="20"/>
        </w:rPr>
        <w:t>[To be completed by Standards Management Officer]</w:t>
      </w:r>
    </w:p>
    <w:p w:rsidR="00F15BD6" w:rsidRPr="008F2616" w:rsidRDefault="00F15BD6" w:rsidP="00F15BD6">
      <w:pPr>
        <w:rPr>
          <w:sz w:val="20"/>
        </w:rPr>
      </w:pPr>
    </w:p>
    <w:p w:rsidR="00F15BD6" w:rsidRDefault="00F15BD6" w:rsidP="00F15BD6">
      <w:pPr>
        <w:rPr>
          <w:sz w:val="20"/>
        </w:rPr>
      </w:pPr>
    </w:p>
    <w:p w:rsidR="00F15BD6" w:rsidRDefault="00F15BD6" w:rsidP="00F15BD6">
      <w:pPr>
        <w:rPr>
          <w:sz w:val="20"/>
        </w:rPr>
      </w:pPr>
    </w:p>
    <w:p w:rsidR="00F15BD6" w:rsidRPr="008F2616" w:rsidRDefault="00F15BD6" w:rsidP="00F15BD6">
      <w:pPr>
        <w:rPr>
          <w:sz w:val="20"/>
        </w:rPr>
      </w:pPr>
    </w:p>
    <w:p w:rsidR="00F15BD6" w:rsidRPr="008F2616" w:rsidRDefault="00F15BD6" w:rsidP="00F15BD6">
      <w:pPr>
        <w:rPr>
          <w:sz w:val="20"/>
        </w:rPr>
      </w:pPr>
    </w:p>
    <w:p w:rsidR="00F15BD6" w:rsidRPr="008F2616" w:rsidRDefault="00F15BD6" w:rsidP="00F15BD6">
      <w:pPr>
        <w:rPr>
          <w:sz w:val="20"/>
        </w:rPr>
      </w:pPr>
      <w:r w:rsidRPr="008F2616">
        <w:rPr>
          <w:sz w:val="20"/>
        </w:rPr>
        <w:t>Standards Management Officer</w:t>
      </w:r>
    </w:p>
    <w:p w:rsidR="00F15BD6" w:rsidRPr="008F2616" w:rsidRDefault="00F15BD6" w:rsidP="00F15BD6">
      <w:pPr>
        <w:rPr>
          <w:sz w:val="20"/>
        </w:rPr>
      </w:pPr>
      <w:r w:rsidRPr="008F2616">
        <w:rPr>
          <w:sz w:val="20"/>
        </w:rPr>
        <w:t>Delegate of the Board of Food Standards Australia New Zealand</w:t>
      </w: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Default="00F15BD6" w:rsidP="00F15BD6">
      <w:pPr>
        <w:rPr>
          <w:sz w:val="20"/>
        </w:rPr>
      </w:pPr>
    </w:p>
    <w:p w:rsidR="00F15BD6" w:rsidRPr="00574DE1" w:rsidRDefault="00F15BD6" w:rsidP="00F15BD6">
      <w:pPr>
        <w:pStyle w:val="EditorialNoteLine1"/>
        <w:rPr>
          <w:lang w:val="en-AU"/>
        </w:rPr>
      </w:pPr>
      <w:r w:rsidRPr="00574DE1">
        <w:rPr>
          <w:lang w:val="en-AU"/>
        </w:rPr>
        <w:t xml:space="preserve">Note:  </w:t>
      </w:r>
    </w:p>
    <w:p w:rsidR="00F15BD6" w:rsidRPr="00574DE1" w:rsidRDefault="00F15BD6" w:rsidP="00F15BD6">
      <w:pPr>
        <w:pStyle w:val="EditorialNotetext"/>
        <w:rPr>
          <w:lang w:val="en-AU"/>
        </w:rPr>
      </w:pPr>
    </w:p>
    <w:p w:rsidR="00F15BD6" w:rsidRDefault="00F15BD6" w:rsidP="00F15BD6">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rsidR="00F15BD6" w:rsidRDefault="00F15BD6" w:rsidP="00F15BD6">
      <w:pPr>
        <w:rPr>
          <w:sz w:val="20"/>
        </w:rPr>
      </w:pPr>
    </w:p>
    <w:p w:rsidR="00F15BD6" w:rsidRDefault="00F15BD6" w:rsidP="00F15BD6">
      <w:pPr>
        <w:widowControl/>
        <w:rPr>
          <w:sz w:val="20"/>
        </w:rPr>
      </w:pPr>
      <w:r>
        <w:rPr>
          <w:sz w:val="20"/>
        </w:rPr>
        <w:br w:type="page"/>
      </w:r>
    </w:p>
    <w:p w:rsidR="00F15BD6" w:rsidRDefault="00F15BD6" w:rsidP="00F15BD6">
      <w:pPr>
        <w:pStyle w:val="Clauseheading"/>
      </w:pPr>
      <w:r>
        <w:lastRenderedPageBreak/>
        <w:t>1</w:t>
      </w:r>
      <w:r>
        <w:tab/>
        <w:t>Name</w:t>
      </w:r>
    </w:p>
    <w:p w:rsidR="00F15BD6" w:rsidRDefault="00F15BD6" w:rsidP="00F15BD6">
      <w:pPr>
        <w:pStyle w:val="Clause"/>
      </w:pPr>
    </w:p>
    <w:p w:rsidR="00F15BD6" w:rsidRPr="00F618DF" w:rsidRDefault="00F15BD6" w:rsidP="00F15BD6">
      <w:pPr>
        <w:pStyle w:val="Clause"/>
      </w:pPr>
      <w:r w:rsidRPr="00DB170D">
        <w:t xml:space="preserve">This instrument is the </w:t>
      </w:r>
      <w:r>
        <w:rPr>
          <w:i/>
        </w:rPr>
        <w:t xml:space="preserve">Food Standards </w:t>
      </w:r>
      <w:r w:rsidRPr="00F618DF">
        <w:rPr>
          <w:i/>
        </w:rPr>
        <w:t>(</w:t>
      </w:r>
      <w:r w:rsidRPr="00485DFB">
        <w:rPr>
          <w:i/>
        </w:rPr>
        <w:t>Application A1101 – Commencement of Dietary Fibre Claim Provisions – Consequential) Variation.</w:t>
      </w:r>
    </w:p>
    <w:p w:rsidR="00F15BD6" w:rsidRDefault="00F15BD6" w:rsidP="00F15BD6">
      <w:pPr>
        <w:pStyle w:val="Clause"/>
      </w:pPr>
    </w:p>
    <w:p w:rsidR="00F15BD6" w:rsidRPr="009D62C4" w:rsidRDefault="00F15BD6" w:rsidP="00F15BD6">
      <w:pPr>
        <w:pStyle w:val="Clauseheading"/>
        <w:ind w:left="851" w:hanging="851"/>
        <w:rPr>
          <w:i/>
        </w:rPr>
      </w:pPr>
      <w:r>
        <w:t>2</w:t>
      </w:r>
      <w:r>
        <w:tab/>
        <w:t xml:space="preserve">Consequential variation to Standards in the </w:t>
      </w:r>
      <w:r w:rsidRPr="009D62C4">
        <w:rPr>
          <w:i/>
        </w:rPr>
        <w:t>Australia New Zealand Food Standards Code</w:t>
      </w:r>
    </w:p>
    <w:p w:rsidR="00F15BD6" w:rsidRDefault="00F15BD6" w:rsidP="00F15BD6">
      <w:pPr>
        <w:pStyle w:val="Clause"/>
      </w:pPr>
    </w:p>
    <w:p w:rsidR="00F15BD6" w:rsidRDefault="00F15BD6" w:rsidP="00F15BD6">
      <w:pPr>
        <w:pStyle w:val="Clause"/>
      </w:pPr>
      <w:r>
        <w:t xml:space="preserve">The Schedule varies </w:t>
      </w:r>
      <w:r w:rsidR="004C282D">
        <w:t xml:space="preserve">a </w:t>
      </w:r>
      <w:r>
        <w:t xml:space="preserve">Standard </w:t>
      </w:r>
      <w:r w:rsidR="004C282D">
        <w:t>in</w:t>
      </w:r>
      <w:r>
        <w:t xml:space="preserve"> </w:t>
      </w:r>
      <w:r w:rsidRPr="00FF1C11">
        <w:rPr>
          <w:i/>
        </w:rPr>
        <w:t>Australia New Zealand Food Standards Code</w:t>
      </w:r>
      <w:r>
        <w:t>.</w:t>
      </w:r>
    </w:p>
    <w:p w:rsidR="00F15BD6" w:rsidRDefault="00F15BD6" w:rsidP="00F15BD6">
      <w:pPr>
        <w:rPr>
          <w:sz w:val="20"/>
        </w:rPr>
      </w:pPr>
    </w:p>
    <w:p w:rsidR="00F15BD6" w:rsidRDefault="00F15BD6" w:rsidP="00F15BD6">
      <w:pPr>
        <w:pStyle w:val="Clauseheading"/>
      </w:pPr>
      <w:r>
        <w:t>3</w:t>
      </w:r>
      <w:r>
        <w:tab/>
        <w:t>Commencement</w:t>
      </w:r>
    </w:p>
    <w:p w:rsidR="00F15BD6" w:rsidRDefault="00F15BD6" w:rsidP="00F15BD6">
      <w:pPr>
        <w:pStyle w:val="Clause"/>
      </w:pPr>
    </w:p>
    <w:p w:rsidR="00F15BD6" w:rsidRDefault="00F15BD6" w:rsidP="00F15BD6">
      <w:pPr>
        <w:pStyle w:val="Clause"/>
      </w:pPr>
      <w:r>
        <w:t>The variation commenc</w:t>
      </w:r>
      <w:r w:rsidRPr="000055C4">
        <w:t>e</w:t>
      </w:r>
      <w:r>
        <w:t>s</w:t>
      </w:r>
      <w:r w:rsidRPr="000055C4">
        <w:t xml:space="preserve"> on </w:t>
      </w:r>
      <w:r w:rsidR="008B256F">
        <w:t>1</w:t>
      </w:r>
      <w:r w:rsidR="006E0701">
        <w:t>8</w:t>
      </w:r>
      <w:r w:rsidR="005E3707">
        <w:t xml:space="preserve"> January 2016</w:t>
      </w:r>
      <w:r>
        <w:t>.</w:t>
      </w:r>
    </w:p>
    <w:p w:rsidR="00F15BD6" w:rsidRDefault="00F15BD6" w:rsidP="00F15BD6">
      <w:pPr>
        <w:pStyle w:val="Clause"/>
      </w:pPr>
    </w:p>
    <w:p w:rsidR="00F15BD6" w:rsidRDefault="00F15BD6" w:rsidP="00F15BD6">
      <w:pPr>
        <w:pStyle w:val="ScheduleHeading"/>
      </w:pPr>
    </w:p>
    <w:p w:rsidR="00F15BD6" w:rsidRDefault="00F15BD6" w:rsidP="00F15BD6">
      <w:pPr>
        <w:pStyle w:val="ScheduleHeading"/>
      </w:pPr>
      <w:r>
        <w:t>SCHEDULE</w:t>
      </w:r>
    </w:p>
    <w:p w:rsidR="00F15BD6" w:rsidRPr="00D5326E" w:rsidRDefault="00F15BD6" w:rsidP="00F15BD6">
      <w:pPr>
        <w:widowControl/>
        <w:rPr>
          <w:sz w:val="20"/>
        </w:rPr>
      </w:pPr>
    </w:p>
    <w:p w:rsidR="00F15BD6" w:rsidRDefault="00F15BD6" w:rsidP="004C282D">
      <w:pPr>
        <w:rPr>
          <w:rFonts w:cs="Arial"/>
          <w:i/>
          <w:iCs/>
          <w:sz w:val="20"/>
          <w:lang w:eastAsia="en-GB"/>
        </w:rPr>
      </w:pPr>
      <w:r w:rsidRPr="00BA7894">
        <w:rPr>
          <w:rFonts w:cs="Arial"/>
          <w:b/>
          <w:bCs/>
          <w:sz w:val="20"/>
          <w:lang w:eastAsia="en-GB"/>
        </w:rPr>
        <w:t>[1</w:t>
      </w:r>
      <w:r w:rsidR="004C282D" w:rsidRPr="00BA7894">
        <w:rPr>
          <w:rFonts w:cs="Arial"/>
          <w:b/>
          <w:bCs/>
          <w:sz w:val="20"/>
          <w:lang w:eastAsia="en-GB"/>
        </w:rPr>
        <w:t>]</w:t>
      </w:r>
      <w:r w:rsidR="004C282D">
        <w:rPr>
          <w:rFonts w:cs="Arial"/>
          <w:b/>
          <w:bCs/>
          <w:sz w:val="20"/>
          <w:lang w:eastAsia="en-GB"/>
        </w:rPr>
        <w:tab/>
      </w:r>
      <w:r w:rsidRPr="002E4D73">
        <w:rPr>
          <w:rFonts w:cs="Arial"/>
          <w:b/>
          <w:bCs/>
          <w:iCs/>
          <w:sz w:val="20"/>
          <w:lang w:eastAsia="en-GB"/>
        </w:rPr>
        <w:t>Standard 1.2.7 i</w:t>
      </w:r>
      <w:r w:rsidRPr="002E4D73">
        <w:rPr>
          <w:rFonts w:cs="Arial"/>
          <w:iCs/>
          <w:sz w:val="20"/>
          <w:lang w:eastAsia="en-GB"/>
        </w:rPr>
        <w:t>s varied by</w:t>
      </w:r>
      <w:r w:rsidRPr="00BA7894">
        <w:rPr>
          <w:rFonts w:cs="Arial"/>
          <w:i/>
          <w:iCs/>
          <w:sz w:val="20"/>
          <w:lang w:eastAsia="en-GB"/>
        </w:rPr>
        <w:t xml:space="preserve"> </w:t>
      </w:r>
      <w:r w:rsidRPr="00BA7894">
        <w:rPr>
          <w:rFonts w:cs="Arial"/>
          <w:iCs/>
          <w:sz w:val="20"/>
          <w:lang w:eastAsia="en-GB"/>
        </w:rPr>
        <w:t>inserting after</w:t>
      </w:r>
      <w:r>
        <w:rPr>
          <w:rFonts w:cs="Arial"/>
          <w:iCs/>
          <w:sz w:val="20"/>
          <w:lang w:eastAsia="en-GB"/>
        </w:rPr>
        <w:t xml:space="preserve"> the </w:t>
      </w:r>
      <w:r w:rsidR="00D3356C">
        <w:rPr>
          <w:rFonts w:cs="Arial"/>
          <w:iCs/>
          <w:sz w:val="20"/>
          <w:lang w:eastAsia="en-GB"/>
        </w:rPr>
        <w:t xml:space="preserve">heading </w:t>
      </w:r>
      <w:r w:rsidR="007D488F">
        <w:rPr>
          <w:rFonts w:cs="Arial"/>
          <w:iCs/>
          <w:sz w:val="20"/>
          <w:lang w:eastAsia="en-GB"/>
        </w:rPr>
        <w:t xml:space="preserve">to Part 1 of that Standard </w:t>
      </w:r>
      <w:r w:rsidR="005F2BCC">
        <w:rPr>
          <w:rFonts w:cs="Arial"/>
          <w:iCs/>
          <w:sz w:val="20"/>
          <w:lang w:eastAsia="en-GB"/>
        </w:rPr>
        <w:t>“</w:t>
      </w:r>
      <w:r w:rsidR="00D3356C">
        <w:rPr>
          <w:rFonts w:cs="Arial"/>
          <w:iCs/>
          <w:sz w:val="20"/>
          <w:lang w:eastAsia="en-GB"/>
        </w:rPr>
        <w:t>Part 1 – Purpose and Interpretation</w:t>
      </w:r>
      <w:r w:rsidR="005F2BCC">
        <w:rPr>
          <w:rFonts w:cs="Arial"/>
          <w:iCs/>
          <w:sz w:val="20"/>
          <w:lang w:eastAsia="en-GB"/>
        </w:rPr>
        <w:t>”</w:t>
      </w:r>
      <w:r w:rsidR="007D488F">
        <w:rPr>
          <w:rFonts w:cs="Arial"/>
          <w:i/>
          <w:iCs/>
          <w:sz w:val="20"/>
          <w:lang w:eastAsia="en-GB"/>
        </w:rPr>
        <w:t xml:space="preserve"> </w:t>
      </w:r>
      <w:r w:rsidR="004C282D">
        <w:rPr>
          <w:rFonts w:cs="Arial"/>
          <w:i/>
          <w:iCs/>
          <w:sz w:val="20"/>
          <w:lang w:eastAsia="en-GB"/>
        </w:rPr>
        <w:t>–</w:t>
      </w:r>
    </w:p>
    <w:p w:rsidR="004C282D" w:rsidRPr="00BA7894" w:rsidRDefault="004C282D" w:rsidP="004C282D">
      <w:pPr>
        <w:rPr>
          <w:rFonts w:cs="Arial"/>
          <w:sz w:val="20"/>
          <w:lang w:val="en-AU" w:eastAsia="en-GB"/>
        </w:rPr>
      </w:pPr>
    </w:p>
    <w:p w:rsidR="00F15BD6" w:rsidRDefault="00F15BD6" w:rsidP="00F15BD6">
      <w:pPr>
        <w:rPr>
          <w:sz w:val="20"/>
        </w:rPr>
      </w:pPr>
      <w:r>
        <w:rPr>
          <w:sz w:val="20"/>
        </w:rPr>
        <w:t>“</w:t>
      </w:r>
    </w:p>
    <w:p w:rsidR="00F15BD6" w:rsidRPr="00574DE1" w:rsidRDefault="00F15BD6" w:rsidP="00F15BD6">
      <w:pPr>
        <w:pStyle w:val="EditorialNoteLine1"/>
        <w:rPr>
          <w:lang w:val="en-AU"/>
        </w:rPr>
      </w:pPr>
      <w:r w:rsidRPr="00BA7894">
        <w:rPr>
          <w:rFonts w:cs="Arial"/>
          <w:bCs/>
          <w:lang w:eastAsia="en-GB"/>
        </w:rPr>
        <w:t>Editorial Note</w:t>
      </w:r>
      <w:r w:rsidRPr="00574DE1">
        <w:rPr>
          <w:lang w:val="en-AU"/>
        </w:rPr>
        <w:t xml:space="preserve">:  </w:t>
      </w:r>
    </w:p>
    <w:p w:rsidR="00F15BD6" w:rsidRPr="00574DE1" w:rsidRDefault="00F15BD6" w:rsidP="00F15BD6">
      <w:pPr>
        <w:pStyle w:val="EditorialNotetext"/>
        <w:rPr>
          <w:lang w:val="en-AU"/>
        </w:rPr>
      </w:pPr>
    </w:p>
    <w:p w:rsidR="00F15BD6" w:rsidRDefault="00F15BD6" w:rsidP="00F15BD6">
      <w:pPr>
        <w:pStyle w:val="EditorialNotetext"/>
        <w:rPr>
          <w:lang w:val="en-AU"/>
        </w:rPr>
      </w:pPr>
      <w:r w:rsidRPr="00BA7894">
        <w:rPr>
          <w:rFonts w:cs="Arial"/>
          <w:lang w:eastAsia="en-GB"/>
        </w:rPr>
        <w:t xml:space="preserve">Standard </w:t>
      </w:r>
      <w:r w:rsidR="00F56459">
        <w:rPr>
          <w:rFonts w:cs="Arial"/>
          <w:lang w:eastAsia="en-GB"/>
        </w:rPr>
        <w:t>1.1A.8</w:t>
      </w:r>
      <w:r w:rsidRPr="00BA7894">
        <w:rPr>
          <w:rFonts w:cs="Arial"/>
          <w:lang w:eastAsia="en-GB"/>
        </w:rPr>
        <w:t xml:space="preserve"> </w:t>
      </w:r>
      <w:r w:rsidR="00A16FA8">
        <w:rPr>
          <w:rFonts w:cs="Arial"/>
          <w:lang w:eastAsia="en-GB"/>
        </w:rPr>
        <w:t xml:space="preserve">is a transitional Standard that </w:t>
      </w:r>
      <w:r>
        <w:rPr>
          <w:rFonts w:cs="Arial"/>
          <w:lang w:eastAsia="en-GB"/>
        </w:rPr>
        <w:t xml:space="preserve">applies to claims about the presence or absence of dietary fibre in a food and </w:t>
      </w:r>
      <w:r w:rsidRPr="00BA7894">
        <w:rPr>
          <w:rFonts w:cs="Arial"/>
          <w:lang w:eastAsia="en-GB"/>
        </w:rPr>
        <w:t>operates concurrently with Standard 1.2.7</w:t>
      </w:r>
      <w:r>
        <w:t>.</w:t>
      </w:r>
      <w:r w:rsidRPr="00BA7894">
        <w:rPr>
          <w:rFonts w:cs="Arial"/>
          <w:lang w:eastAsia="en-GB"/>
        </w:rPr>
        <w:t xml:space="preserve"> </w:t>
      </w:r>
      <w:r w:rsidR="00A16FA8">
        <w:rPr>
          <w:rFonts w:cs="Arial"/>
          <w:lang w:eastAsia="en-GB"/>
        </w:rPr>
        <w:t>The transitional arrangement permitted by Standard 1.1A.8 allows a</w:t>
      </w:r>
      <w:r w:rsidR="00A16FA8" w:rsidDel="00A16FA8">
        <w:rPr>
          <w:rFonts w:cs="Arial"/>
          <w:lang w:eastAsia="en-GB"/>
        </w:rPr>
        <w:t xml:space="preserve"> </w:t>
      </w:r>
      <w:r w:rsidRPr="00BA7894">
        <w:rPr>
          <w:rFonts w:cs="Arial"/>
          <w:lang w:eastAsia="en-GB"/>
        </w:rPr>
        <w:t>supplier</w:t>
      </w:r>
      <w:r>
        <w:rPr>
          <w:rFonts w:cs="Arial"/>
          <w:lang w:eastAsia="en-GB"/>
        </w:rPr>
        <w:t xml:space="preserve"> making a claim about the presence or absence of dietary fibre in a food</w:t>
      </w:r>
      <w:r w:rsidRPr="00BA7894">
        <w:rPr>
          <w:rFonts w:cs="Arial"/>
          <w:lang w:eastAsia="en-GB"/>
        </w:rPr>
        <w:t xml:space="preserve"> </w:t>
      </w:r>
      <w:r w:rsidR="00A16FA8">
        <w:rPr>
          <w:rFonts w:cs="Arial"/>
          <w:lang w:eastAsia="en-GB"/>
        </w:rPr>
        <w:t xml:space="preserve">to either </w:t>
      </w:r>
      <w:r>
        <w:rPr>
          <w:rFonts w:cs="Arial"/>
          <w:lang w:eastAsia="en-GB"/>
        </w:rPr>
        <w:t>comply with</w:t>
      </w:r>
      <w:r w:rsidRPr="00BA7894">
        <w:rPr>
          <w:rFonts w:cs="Arial"/>
          <w:lang w:eastAsia="en-GB"/>
        </w:rPr>
        <w:t xml:space="preserve"> </w:t>
      </w:r>
      <w:r>
        <w:rPr>
          <w:rFonts w:cs="Arial"/>
          <w:lang w:eastAsia="en-GB"/>
        </w:rPr>
        <w:t xml:space="preserve">clause 11 of </w:t>
      </w:r>
      <w:r w:rsidRPr="00BA7894">
        <w:rPr>
          <w:rFonts w:cs="Arial"/>
          <w:lang w:eastAsia="en-GB"/>
        </w:rPr>
        <w:t xml:space="preserve">Standard 1.2.7 or </w:t>
      </w:r>
      <w:r>
        <w:rPr>
          <w:rFonts w:cs="Arial"/>
          <w:lang w:eastAsia="en-GB"/>
        </w:rPr>
        <w:t xml:space="preserve">clause 2 of </w:t>
      </w:r>
      <w:r w:rsidR="008D3F23">
        <w:rPr>
          <w:rFonts w:cs="Arial"/>
          <w:lang w:eastAsia="en-GB"/>
        </w:rPr>
        <w:t xml:space="preserve">Standard </w:t>
      </w:r>
      <w:r w:rsidR="00F56459">
        <w:rPr>
          <w:rFonts w:cs="Arial"/>
          <w:lang w:eastAsia="en-GB"/>
        </w:rPr>
        <w:t>1.1A.8</w:t>
      </w:r>
      <w:r w:rsidRPr="004A1976">
        <w:rPr>
          <w:rFonts w:cs="Arial"/>
          <w:lang w:eastAsia="en-GB"/>
        </w:rPr>
        <w:t xml:space="preserve">, but not both. </w:t>
      </w:r>
      <w:r w:rsidR="00A609A0">
        <w:rPr>
          <w:rFonts w:cs="Arial"/>
          <w:lang w:eastAsia="en-GB"/>
        </w:rPr>
        <w:t>Th</w:t>
      </w:r>
      <w:r w:rsidR="007453B5">
        <w:rPr>
          <w:rFonts w:cs="Arial"/>
          <w:lang w:eastAsia="en-GB"/>
        </w:rPr>
        <w:t>is</w:t>
      </w:r>
      <w:r w:rsidR="00A609A0">
        <w:rPr>
          <w:rFonts w:cs="Arial"/>
          <w:lang w:eastAsia="en-GB"/>
        </w:rPr>
        <w:t xml:space="preserve"> transitional arrangement under Standard 1.1A.8</w:t>
      </w:r>
      <w:r w:rsidR="007453B5">
        <w:rPr>
          <w:rFonts w:cs="Arial"/>
          <w:lang w:eastAsia="en-GB"/>
        </w:rPr>
        <w:t xml:space="preserve"> </w:t>
      </w:r>
      <w:r w:rsidR="00192D9F" w:rsidRPr="004A1976">
        <w:rPr>
          <w:rFonts w:cs="Arial"/>
          <w:lang w:eastAsia="en-GB"/>
        </w:rPr>
        <w:t>commence</w:t>
      </w:r>
      <w:r w:rsidR="00FD547B">
        <w:rPr>
          <w:rFonts w:cs="Arial"/>
          <w:lang w:eastAsia="en-GB"/>
        </w:rPr>
        <w:t>d</w:t>
      </w:r>
      <w:r w:rsidR="002E4D73">
        <w:rPr>
          <w:rFonts w:cs="Arial"/>
          <w:lang w:eastAsia="en-GB"/>
        </w:rPr>
        <w:t xml:space="preserve"> </w:t>
      </w:r>
      <w:r w:rsidR="00192D9F" w:rsidRPr="004A1976">
        <w:rPr>
          <w:rFonts w:cs="Arial"/>
          <w:lang w:eastAsia="en-GB"/>
        </w:rPr>
        <w:t xml:space="preserve">on 18 January 2016 </w:t>
      </w:r>
      <w:r w:rsidR="00192D9F" w:rsidRPr="008D3F23">
        <w:rPr>
          <w:rFonts w:cs="Arial"/>
          <w:lang w:eastAsia="en-GB"/>
        </w:rPr>
        <w:t>and</w:t>
      </w:r>
      <w:r w:rsidRPr="008D3F23">
        <w:rPr>
          <w:rFonts w:cs="Arial"/>
          <w:lang w:eastAsia="en-GB"/>
        </w:rPr>
        <w:t xml:space="preserve"> </w:t>
      </w:r>
      <w:r w:rsidR="000A1902">
        <w:rPr>
          <w:rFonts w:cs="Arial"/>
          <w:lang w:eastAsia="en-GB"/>
        </w:rPr>
        <w:t xml:space="preserve">will </w:t>
      </w:r>
      <w:r w:rsidRPr="008D3F23">
        <w:rPr>
          <w:rFonts w:cs="Arial"/>
          <w:lang w:eastAsia="en-GB"/>
        </w:rPr>
        <w:t xml:space="preserve">cease </w:t>
      </w:r>
      <w:r w:rsidR="000A1902">
        <w:rPr>
          <w:rFonts w:cs="Arial"/>
          <w:lang w:eastAsia="en-GB"/>
        </w:rPr>
        <w:t xml:space="preserve">on 1 March 2016 when the revised Code takes effect and that Standard is revoked. The revised Code will provide a similar transitional arrangement until </w:t>
      </w:r>
      <w:r w:rsidR="002E4D73">
        <w:rPr>
          <w:rFonts w:cs="Arial"/>
          <w:lang w:eastAsia="en-GB"/>
        </w:rPr>
        <w:t xml:space="preserve">and including </w:t>
      </w:r>
      <w:r w:rsidRPr="008D3F23">
        <w:t>1</w:t>
      </w:r>
      <w:r w:rsidR="002E4D73">
        <w:t>7</w:t>
      </w:r>
      <w:r w:rsidRPr="008D3F23">
        <w:t xml:space="preserve"> January 2017</w:t>
      </w:r>
      <w:r w:rsidR="001B3E9C">
        <w:t>.</w:t>
      </w:r>
    </w:p>
    <w:p w:rsidR="00F15BD6" w:rsidRDefault="00F15BD6" w:rsidP="00F15BD6">
      <w:pPr>
        <w:jc w:val="right"/>
        <w:rPr>
          <w:sz w:val="20"/>
        </w:rPr>
      </w:pPr>
      <w:r>
        <w:rPr>
          <w:sz w:val="20"/>
        </w:rPr>
        <w:t>”</w:t>
      </w:r>
    </w:p>
    <w:p w:rsidR="00F15BD6" w:rsidRPr="00BA7894" w:rsidRDefault="00F15BD6" w:rsidP="00F15BD6">
      <w:pPr>
        <w:rPr>
          <w:rFonts w:cs="Arial"/>
          <w:sz w:val="20"/>
          <w:lang w:val="en-AU" w:eastAsia="en-GB"/>
        </w:rPr>
      </w:pPr>
      <w:r w:rsidRPr="00BA7894">
        <w:rPr>
          <w:rFonts w:cs="Arial"/>
          <w:sz w:val="20"/>
          <w:lang w:eastAsia="en-GB"/>
        </w:rPr>
        <w:t> </w:t>
      </w:r>
    </w:p>
    <w:p w:rsidR="00F15BD6" w:rsidRDefault="00F15BD6" w:rsidP="00F15BD6">
      <w:pPr>
        <w:widowControl/>
      </w:pPr>
    </w:p>
    <w:p w:rsidR="007C174F" w:rsidRDefault="007C174F" w:rsidP="007C174F"/>
    <w:p w:rsidR="00AF06FC" w:rsidRDefault="00AF06FC" w:rsidP="007C174F">
      <w:r>
        <w:br w:type="page"/>
      </w:r>
    </w:p>
    <w:p w:rsidR="00A516F5" w:rsidRDefault="00A516F5" w:rsidP="00A516F5">
      <w:pPr>
        <w:pStyle w:val="Heading2"/>
        <w:ind w:left="0" w:firstLine="0"/>
      </w:pPr>
      <w:bookmarkStart w:id="74" w:name="_Toc312235863"/>
      <w:bookmarkStart w:id="75" w:name="_Toc323802176"/>
      <w:bookmarkStart w:id="76" w:name="_Toc414615584"/>
      <w:bookmarkStart w:id="77" w:name="_Toc412098938"/>
      <w:bookmarkStart w:id="78" w:name="_Toc300933454"/>
      <w:r w:rsidRPr="00932F14">
        <w:lastRenderedPageBreak/>
        <w:t xml:space="preserve">Attachment </w:t>
      </w:r>
      <w:r>
        <w:t>B – Draft Explanatory Statement</w:t>
      </w:r>
      <w:bookmarkEnd w:id="74"/>
      <w:r>
        <w:t>s</w:t>
      </w:r>
      <w:bookmarkEnd w:id="75"/>
      <w:bookmarkEnd w:id="76"/>
    </w:p>
    <w:p w:rsidR="00A516F5" w:rsidRDefault="00BF2A53" w:rsidP="00DE34F9">
      <w:pPr>
        <w:rPr>
          <w:b/>
          <w:sz w:val="28"/>
          <w:szCs w:val="28"/>
          <w:lang w:bidi="ar-SA"/>
        </w:rPr>
      </w:pPr>
      <w:bookmarkStart w:id="79" w:name="_Toc323802177"/>
      <w:r>
        <w:rPr>
          <w:b/>
          <w:sz w:val="28"/>
          <w:szCs w:val="28"/>
          <w:lang w:bidi="ar-SA"/>
        </w:rPr>
        <w:t xml:space="preserve">Draft </w:t>
      </w:r>
      <w:r w:rsidR="00A516F5" w:rsidRPr="00DE34F9">
        <w:rPr>
          <w:b/>
          <w:sz w:val="28"/>
          <w:szCs w:val="28"/>
          <w:lang w:bidi="ar-SA"/>
        </w:rPr>
        <w:t xml:space="preserve">Standard 1.1A.8 – </w:t>
      </w:r>
      <w:bookmarkEnd w:id="79"/>
      <w:r w:rsidR="00A516F5" w:rsidRPr="00DE34F9">
        <w:rPr>
          <w:b/>
          <w:sz w:val="28"/>
          <w:szCs w:val="28"/>
          <w:lang w:bidi="ar-SA"/>
        </w:rPr>
        <w:t>Transitional Standard for Dietary Fibre Nutrition Content Claims</w:t>
      </w:r>
    </w:p>
    <w:p w:rsidR="00DE34F9" w:rsidRPr="00DE34F9" w:rsidRDefault="00DE34F9" w:rsidP="00AE57E1">
      <w:pPr>
        <w:rPr>
          <w:lang w:bidi="ar-SA"/>
        </w:rPr>
      </w:pPr>
    </w:p>
    <w:bookmarkEnd w:id="77"/>
    <w:p w:rsidR="00A516F5" w:rsidRDefault="00A516F5" w:rsidP="00A516F5">
      <w:pPr>
        <w:rPr>
          <w:b/>
          <w:lang w:val="en-AU" w:eastAsia="en-GB" w:bidi="ar-SA"/>
        </w:rPr>
      </w:pPr>
      <w:r>
        <w:rPr>
          <w:b/>
          <w:lang w:val="en-AU" w:eastAsia="en-GB" w:bidi="ar-SA"/>
        </w:rPr>
        <w:t>1.</w:t>
      </w:r>
      <w:r>
        <w:rPr>
          <w:b/>
          <w:lang w:val="en-AU" w:eastAsia="en-GB" w:bidi="ar-SA"/>
        </w:rPr>
        <w:tab/>
        <w:t>Authority</w:t>
      </w:r>
    </w:p>
    <w:p w:rsidR="00A516F5" w:rsidRDefault="00A516F5" w:rsidP="00A516F5">
      <w:pPr>
        <w:rPr>
          <w:lang w:val="en-AU" w:eastAsia="en-GB"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FSANZ accepted Application A1101 which seeks to delay </w:t>
      </w:r>
      <w:r w:rsidR="00A22B67">
        <w:rPr>
          <w:rFonts w:eastAsia="Calibri" w:cs="Arial"/>
          <w:bCs/>
          <w:szCs w:val="22"/>
          <w:lang w:val="en-AU" w:bidi="ar-SA"/>
        </w:rPr>
        <w:t>the requirement to comply with the qualifying criteria for nutrition content claims about dietary fibre</w:t>
      </w:r>
      <w:r>
        <w:rPr>
          <w:rFonts w:eastAsia="Calibri" w:cs="Arial"/>
          <w:bCs/>
          <w:szCs w:val="22"/>
          <w:lang w:val="en-AU" w:bidi="ar-SA"/>
        </w:rPr>
        <w:t xml:space="preserve"> in Standard 1.2.7 – Nutrit</w:t>
      </w:r>
      <w:r w:rsidR="00A22B67">
        <w:rPr>
          <w:rFonts w:eastAsia="Calibri" w:cs="Arial"/>
          <w:bCs/>
          <w:szCs w:val="22"/>
          <w:lang w:val="en-AU" w:bidi="ar-SA"/>
        </w:rPr>
        <w:t>ion, Health and Related Claims</w:t>
      </w:r>
      <w:r>
        <w:rPr>
          <w:rFonts w:eastAsia="Calibri" w:cs="Arial"/>
          <w:bCs/>
          <w:szCs w:val="22"/>
          <w:lang w:val="en-AU" w:bidi="ar-SA"/>
        </w:rPr>
        <w:t>, for 12 months (that is, until and including 17 January 2017). The Authority considered the Application in accordance with Division 1 of Part 3 and has approved a draft new Transitional Standard</w:t>
      </w:r>
      <w:r w:rsidRPr="00C648FD">
        <w:rPr>
          <w:rFonts w:eastAsia="Calibri" w:cs="Arial"/>
          <w:bCs/>
          <w:szCs w:val="22"/>
          <w:lang w:val="en-AU" w:bidi="ar-SA"/>
        </w:rPr>
        <w:t xml:space="preserve"> </w:t>
      </w:r>
      <w:r>
        <w:rPr>
          <w:rFonts w:eastAsia="Calibri" w:cs="Arial"/>
          <w:bCs/>
          <w:szCs w:val="22"/>
          <w:lang w:val="en-AU" w:bidi="ar-SA"/>
        </w:rPr>
        <w:t>1.1A.8</w:t>
      </w:r>
      <w:r w:rsidR="00962553">
        <w:rPr>
          <w:rFonts w:eastAsia="Calibri" w:cs="Arial"/>
          <w:bCs/>
          <w:szCs w:val="22"/>
          <w:lang w:val="en-AU" w:bidi="ar-SA"/>
        </w:rPr>
        <w:t xml:space="preserve"> – </w:t>
      </w:r>
      <w:r w:rsidR="00962553">
        <w:rPr>
          <w:szCs w:val="22"/>
        </w:rPr>
        <w:t>Transitional Standard for Dietary Fibre Nutrition Content Claims</w:t>
      </w:r>
      <w:r>
        <w:rPr>
          <w:rFonts w:eastAsia="Calibri" w:cs="Arial"/>
          <w:bCs/>
          <w:szCs w:val="22"/>
          <w:lang w:val="en-AU" w:bidi="ar-SA"/>
        </w:rPr>
        <w:t xml:space="preserve"> and a draft consequential variation to Standard 1.2.7. </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rPr>
          <w:b/>
          <w:lang w:val="en-AU" w:eastAsia="en-GB" w:bidi="ar-SA"/>
        </w:rPr>
      </w:pPr>
      <w:r>
        <w:rPr>
          <w:b/>
          <w:lang w:val="en-AU" w:eastAsia="en-GB" w:bidi="ar-SA"/>
        </w:rPr>
        <w:t>2.</w:t>
      </w:r>
      <w:r>
        <w:rPr>
          <w:b/>
          <w:lang w:val="en-AU" w:eastAsia="en-GB" w:bidi="ar-SA"/>
        </w:rPr>
        <w:tab/>
        <w:t xml:space="preserve">Purpose </w:t>
      </w:r>
    </w:p>
    <w:p w:rsidR="00A516F5" w:rsidRDefault="00A516F5" w:rsidP="00A516F5">
      <w:pPr>
        <w:rPr>
          <w:lang w:val="en-AU" w:eastAsia="en-GB" w:bidi="ar-SA"/>
        </w:rPr>
      </w:pPr>
    </w:p>
    <w:p w:rsidR="00A516F5" w:rsidRDefault="00A516F5" w:rsidP="00A516F5">
      <w:pPr>
        <w:rPr>
          <w:szCs w:val="22"/>
          <w:lang w:val="en-AU" w:eastAsia="en-GB" w:bidi="ar-SA"/>
        </w:rPr>
      </w:pPr>
      <w:r>
        <w:rPr>
          <w:szCs w:val="22"/>
          <w:lang w:val="en-AU" w:eastAsia="en-GB" w:bidi="ar-SA"/>
        </w:rPr>
        <w:t>The Authority has approved draft new Standard 1.1A.8</w:t>
      </w:r>
      <w:r w:rsidR="00962553">
        <w:rPr>
          <w:rFonts w:eastAsia="Calibri" w:cs="Arial"/>
          <w:bCs/>
          <w:szCs w:val="22"/>
          <w:lang w:val="en-AU" w:bidi="ar-SA"/>
        </w:rPr>
        <w:t xml:space="preserve">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clause 11 of Standard 1.2.7 or clause 2 of draft Standard 1.1A.8.</w:t>
      </w:r>
    </w:p>
    <w:p w:rsidR="00A516F5" w:rsidRDefault="00A516F5" w:rsidP="00A516F5">
      <w:pPr>
        <w:rPr>
          <w:szCs w:val="22"/>
          <w:lang w:val="en-AU" w:eastAsia="en-GB" w:bidi="ar-SA"/>
        </w:rPr>
      </w:pPr>
    </w:p>
    <w:p w:rsidR="00A516F5" w:rsidRDefault="00A516F5" w:rsidP="00A516F5">
      <w:pPr>
        <w:rPr>
          <w:szCs w:val="22"/>
          <w:lang w:val="en-AU" w:eastAsia="en-GB" w:bidi="ar-SA"/>
        </w:rPr>
      </w:pPr>
      <w:r>
        <w:rPr>
          <w:szCs w:val="22"/>
          <w:lang w:val="en-AU" w:eastAsia="en-GB" w:bidi="ar-SA"/>
        </w:rPr>
        <w:t>The transitional period established by draft Standard 1.1A.8 will commence on 18 January 2016 and continue until the Standard ceases to have effect on 1 March 2016, which is the date on which the revised Code takes effect. The revised Code will be amended before that date so that the revised Code continues the above transitional arrangement from 1 March 2016 until and including 17 January 201</w:t>
      </w:r>
      <w:r w:rsidR="00962553">
        <w:rPr>
          <w:szCs w:val="22"/>
          <w:lang w:val="en-AU" w:eastAsia="en-GB" w:bidi="ar-SA"/>
        </w:rPr>
        <w:t>7</w:t>
      </w:r>
      <w:r>
        <w:rPr>
          <w:szCs w:val="22"/>
          <w:lang w:val="en-AU" w:eastAsia="en-GB" w:bidi="ar-SA"/>
        </w:rPr>
        <w:t>.</w:t>
      </w:r>
    </w:p>
    <w:p w:rsidR="00A516F5" w:rsidRDefault="00A516F5" w:rsidP="00A516F5">
      <w:pPr>
        <w:rPr>
          <w:szCs w:val="22"/>
          <w:lang w:val="en-AU" w:eastAsia="en-GB" w:bidi="ar-SA"/>
        </w:rPr>
      </w:pPr>
    </w:p>
    <w:p w:rsidR="00A516F5" w:rsidRDefault="00A516F5" w:rsidP="00A516F5">
      <w:pPr>
        <w:rPr>
          <w:b/>
          <w:lang w:val="en-AU" w:eastAsia="en-GB" w:bidi="ar-SA"/>
        </w:rPr>
      </w:pPr>
      <w:r>
        <w:rPr>
          <w:b/>
          <w:lang w:val="en-AU" w:eastAsia="en-GB" w:bidi="ar-SA"/>
        </w:rPr>
        <w:t>3.</w:t>
      </w:r>
      <w:r>
        <w:rPr>
          <w:b/>
          <w:lang w:val="en-AU" w:eastAsia="en-GB" w:bidi="ar-SA"/>
        </w:rPr>
        <w:tab/>
        <w:t>Documents incorporated by reference</w:t>
      </w:r>
    </w:p>
    <w:p w:rsidR="00A516F5" w:rsidRDefault="00A516F5" w:rsidP="00A516F5">
      <w:pPr>
        <w:rPr>
          <w:lang w:val="en-AU" w:eastAsia="en-GB"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Draft Standard 1.1A.8 does not incorporate any documents by reference.</w:t>
      </w:r>
    </w:p>
    <w:p w:rsidR="00A516F5" w:rsidRDefault="00A516F5" w:rsidP="00A516F5">
      <w:pPr>
        <w:rPr>
          <w:lang w:val="en-AU" w:eastAsia="en-GB" w:bidi="ar-SA"/>
        </w:rPr>
      </w:pPr>
    </w:p>
    <w:p w:rsidR="00A516F5" w:rsidRDefault="00A516F5" w:rsidP="00A516F5">
      <w:pPr>
        <w:rPr>
          <w:b/>
          <w:lang w:val="en-AU" w:eastAsia="en-GB" w:bidi="ar-SA"/>
        </w:rPr>
      </w:pPr>
      <w:r>
        <w:rPr>
          <w:b/>
          <w:lang w:val="en-AU" w:eastAsia="en-GB" w:bidi="ar-SA"/>
        </w:rPr>
        <w:t>4.</w:t>
      </w:r>
      <w:r>
        <w:rPr>
          <w:b/>
          <w:lang w:val="en-AU" w:eastAsia="en-GB" w:bidi="ar-SA"/>
        </w:rPr>
        <w:tab/>
        <w:t>Consultation</w:t>
      </w:r>
    </w:p>
    <w:p w:rsidR="00A516F5" w:rsidRDefault="00A516F5" w:rsidP="00A516F5">
      <w:pPr>
        <w:rPr>
          <w:lang w:val="en-AU" w:eastAsia="en-GB" w:bidi="ar-SA"/>
        </w:rPr>
      </w:pPr>
    </w:p>
    <w:p w:rsidR="00A516F5" w:rsidRPr="00962553" w:rsidRDefault="00A516F5" w:rsidP="00A516F5">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Application A1101 will include one round of public consultation following an assessment and the preparation of a draft new Standard, a draft consequential variation and associated report.</w:t>
      </w:r>
    </w:p>
    <w:p w:rsidR="00A516F5" w:rsidRPr="00962553" w:rsidRDefault="00A516F5" w:rsidP="00A516F5">
      <w:pPr>
        <w:rPr>
          <w:rFonts w:eastAsia="Calibri"/>
          <w:lang w:val="en-AU" w:bidi="ar-SA"/>
        </w:rPr>
      </w:pPr>
    </w:p>
    <w:p w:rsidR="00A516F5" w:rsidRDefault="00A516F5" w:rsidP="00A516F5">
      <w:pPr>
        <w:widowControl/>
        <w:autoSpaceDE w:val="0"/>
        <w:autoSpaceDN w:val="0"/>
        <w:adjustRightInd w:val="0"/>
      </w:pPr>
      <w:r>
        <w:rPr>
          <w:rFonts w:eastAsia="Calibri" w:cs="Arial"/>
          <w:bCs/>
          <w:szCs w:val="22"/>
          <w:lang w:val="en-AU" w:bidi="ar-SA"/>
        </w:rPr>
        <w:t>A Regulation Impact Statement was not required because draft variation to the Code</w:t>
      </w:r>
      <w:r w:rsidDel="003A1C0B">
        <w:rPr>
          <w:rFonts w:eastAsia="Calibri" w:cs="Arial"/>
          <w:bCs/>
          <w:szCs w:val="22"/>
          <w:lang w:val="en-AU" w:bidi="ar-SA"/>
        </w:rPr>
        <w:t xml:space="preserve"> </w:t>
      </w:r>
      <w:r>
        <w:rPr>
          <w:rFonts w:eastAsia="Calibri" w:cs="Arial"/>
          <w:bCs/>
          <w:szCs w:val="22"/>
          <w:lang w:val="en-AU" w:bidi="ar-SA"/>
        </w:rPr>
        <w:t>is</w:t>
      </w:r>
      <w:r>
        <w:t xml:space="preserve"> likely to have only a minor impact on business and individuals (OBPR ID: 17599).</w:t>
      </w:r>
    </w:p>
    <w:p w:rsidR="00A516F5" w:rsidRDefault="00A516F5" w:rsidP="00A516F5">
      <w:pPr>
        <w:widowControl/>
        <w:rPr>
          <w:rFonts w:eastAsiaTheme="minorHAnsi" w:cs="Arial"/>
          <w:b/>
          <w:bCs/>
          <w:szCs w:val="22"/>
          <w:lang w:val="en-AU" w:bidi="ar-SA"/>
        </w:rPr>
      </w:pPr>
    </w:p>
    <w:p w:rsidR="00BF2A53" w:rsidRDefault="00BF2A53" w:rsidP="00A516F5">
      <w:pPr>
        <w:widowControl/>
        <w:rPr>
          <w:rFonts w:eastAsiaTheme="minorHAnsi" w:cs="Arial"/>
          <w:b/>
          <w:bCs/>
          <w:szCs w:val="22"/>
          <w:lang w:val="en-AU" w:bidi="ar-SA"/>
        </w:rPr>
      </w:pPr>
      <w:r>
        <w:rPr>
          <w:rFonts w:eastAsiaTheme="minorHAnsi" w:cs="Arial"/>
          <w:b/>
          <w:bCs/>
          <w:szCs w:val="22"/>
          <w:lang w:val="en-AU" w:bidi="ar-SA"/>
        </w:rPr>
        <w:br w:type="page"/>
      </w:r>
    </w:p>
    <w:p w:rsidR="00A516F5" w:rsidRDefault="00A516F5" w:rsidP="00A516F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rsidR="00A516F5" w:rsidRDefault="00A516F5" w:rsidP="00A516F5">
      <w:pPr>
        <w:rPr>
          <w:rFonts w:eastAsiaTheme="minorHAnsi"/>
          <w:lang w:val="en-AU" w:bidi="ar-SA"/>
        </w:rPr>
      </w:pPr>
    </w:p>
    <w:p w:rsidR="00A516F5" w:rsidRDefault="00A516F5" w:rsidP="00A516F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A516F5" w:rsidRDefault="00A516F5" w:rsidP="00A516F5">
      <w:pPr>
        <w:rPr>
          <w:rFonts w:eastAsiaTheme="minorHAnsi"/>
          <w:lang w:val="en-AU" w:bidi="ar-SA"/>
        </w:rPr>
      </w:pPr>
    </w:p>
    <w:p w:rsidR="00A516F5" w:rsidRDefault="00A516F5" w:rsidP="00A516F5">
      <w:pPr>
        <w:rPr>
          <w:b/>
          <w:lang w:val="en-AU" w:eastAsia="en-GB" w:bidi="ar-SA"/>
        </w:rPr>
      </w:pPr>
      <w:r>
        <w:rPr>
          <w:b/>
        </w:rPr>
        <w:t>6.</w:t>
      </w:r>
      <w:r>
        <w:rPr>
          <w:b/>
        </w:rPr>
        <w:tab/>
      </w:r>
      <w:r>
        <w:rPr>
          <w:b/>
          <w:lang w:val="en-AU" w:eastAsia="en-GB" w:bidi="ar-SA"/>
        </w:rPr>
        <w:t>Variation</w:t>
      </w:r>
    </w:p>
    <w:p w:rsidR="00A516F5" w:rsidRDefault="00A516F5" w:rsidP="00A516F5">
      <w:pPr>
        <w:rPr>
          <w:bCs/>
          <w:szCs w:val="22"/>
        </w:rPr>
      </w:pPr>
    </w:p>
    <w:p w:rsidR="00A516F5" w:rsidRDefault="00A516F5" w:rsidP="00A516F5">
      <w:pPr>
        <w:rPr>
          <w:bCs/>
          <w:szCs w:val="22"/>
        </w:rPr>
      </w:pPr>
      <w:r>
        <w:rPr>
          <w:bCs/>
          <w:szCs w:val="22"/>
        </w:rPr>
        <w:t xml:space="preserve">Clause 1 establishes a transitional arrangement for </w:t>
      </w:r>
      <w:r>
        <w:rPr>
          <w:szCs w:val="22"/>
        </w:rPr>
        <w:t>claims about the presence or absence of dietary fibre in a food</w:t>
      </w:r>
      <w:r>
        <w:rPr>
          <w:bCs/>
          <w:szCs w:val="22"/>
        </w:rPr>
        <w:t xml:space="preserve">.  </w:t>
      </w:r>
    </w:p>
    <w:p w:rsidR="00A516F5" w:rsidRDefault="00A516F5" w:rsidP="00A516F5">
      <w:pPr>
        <w:rPr>
          <w:bCs/>
          <w:szCs w:val="22"/>
        </w:rPr>
      </w:pPr>
    </w:p>
    <w:p w:rsidR="00A516F5" w:rsidRDefault="00A516F5" w:rsidP="00A516F5">
      <w:pPr>
        <w:rPr>
          <w:bCs/>
          <w:szCs w:val="22"/>
        </w:rPr>
      </w:pPr>
      <w:r>
        <w:rPr>
          <w:bCs/>
          <w:szCs w:val="22"/>
        </w:rPr>
        <w:t>Subclause 1(1) permits a</w:t>
      </w:r>
      <w:r>
        <w:rPr>
          <w:szCs w:val="22"/>
        </w:rPr>
        <w:t xml:space="preserve"> claim about the presence or absence of dietary fibre in a food to be made during the transition period in accordance with either clause 11 of Standard 1.2.7 or clause 2 of Standard 1.1A.8, but not a combination of both</w:t>
      </w:r>
      <w:r>
        <w:rPr>
          <w:bCs/>
          <w:szCs w:val="22"/>
        </w:rPr>
        <w:t xml:space="preserve">.  </w:t>
      </w:r>
    </w:p>
    <w:p w:rsidR="00A516F5" w:rsidRDefault="00A516F5" w:rsidP="00A516F5">
      <w:pPr>
        <w:rPr>
          <w:bCs/>
          <w:szCs w:val="22"/>
        </w:rPr>
      </w:pPr>
    </w:p>
    <w:p w:rsidR="00A516F5" w:rsidRDefault="00A516F5" w:rsidP="00A516F5">
      <w:pPr>
        <w:rPr>
          <w:szCs w:val="22"/>
        </w:rPr>
      </w:pPr>
      <w:r>
        <w:rPr>
          <w:bCs/>
          <w:szCs w:val="22"/>
        </w:rPr>
        <w:t xml:space="preserve">Subclause 1(2) explains that </w:t>
      </w:r>
      <w:r>
        <w:rPr>
          <w:szCs w:val="22"/>
        </w:rPr>
        <w:t>Standard 1.1A.8 only relates to the application of clause 11</w:t>
      </w:r>
      <w:r w:rsidR="00A16FA8">
        <w:rPr>
          <w:szCs w:val="22"/>
        </w:rPr>
        <w:t xml:space="preserve"> of Standard 1.2.7</w:t>
      </w:r>
      <w:r>
        <w:rPr>
          <w:szCs w:val="22"/>
        </w:rPr>
        <w:t xml:space="preserve">. That is, a claim made under or in accordance with Standard 1.1A.8 must comply with </w:t>
      </w:r>
      <w:r w:rsidR="00A16FA8">
        <w:rPr>
          <w:szCs w:val="22"/>
        </w:rPr>
        <w:t xml:space="preserve">all </w:t>
      </w:r>
      <w:r>
        <w:rPr>
          <w:szCs w:val="22"/>
        </w:rPr>
        <w:t>applicable clauses of Standard 1.2.7</w:t>
      </w:r>
      <w:r w:rsidR="00AD2196">
        <w:rPr>
          <w:szCs w:val="22"/>
        </w:rPr>
        <w:t xml:space="preserve"> </w:t>
      </w:r>
      <w:r>
        <w:rPr>
          <w:szCs w:val="22"/>
        </w:rPr>
        <w:t xml:space="preserve">other than clause 11. </w:t>
      </w:r>
    </w:p>
    <w:p w:rsidR="00A516F5" w:rsidRDefault="00A516F5" w:rsidP="00A516F5">
      <w:pPr>
        <w:rPr>
          <w:szCs w:val="22"/>
        </w:rPr>
      </w:pPr>
    </w:p>
    <w:p w:rsidR="00A516F5" w:rsidRDefault="00A516F5" w:rsidP="00A516F5">
      <w:pPr>
        <w:rPr>
          <w:rFonts w:cs="Arial"/>
          <w:szCs w:val="22"/>
          <w:lang w:eastAsia="en-GB"/>
        </w:rPr>
      </w:pPr>
      <w:r>
        <w:rPr>
          <w:szCs w:val="22"/>
        </w:rPr>
        <w:t xml:space="preserve">Subclause 1(3) provides that </w:t>
      </w:r>
      <w:r>
        <w:rPr>
          <w:rFonts w:cs="Arial"/>
          <w:szCs w:val="22"/>
          <w:lang w:eastAsia="en-GB"/>
        </w:rPr>
        <w:t>subclause 1(2) of Standard 1.1.1 does not apply to Standard 1.1A.8. This means, for example, there will be no stock in trade exemption when the Standard commences.</w:t>
      </w:r>
    </w:p>
    <w:p w:rsidR="00A516F5" w:rsidRDefault="00A516F5" w:rsidP="00A516F5">
      <w:pPr>
        <w:rPr>
          <w:rFonts w:cs="Arial"/>
          <w:szCs w:val="22"/>
          <w:lang w:eastAsia="en-GB"/>
        </w:rPr>
      </w:pPr>
    </w:p>
    <w:p w:rsidR="00A516F5" w:rsidRDefault="00A516F5" w:rsidP="00A516F5">
      <w:pPr>
        <w:rPr>
          <w:bCs/>
          <w:szCs w:val="22"/>
        </w:rPr>
      </w:pPr>
      <w:r>
        <w:rPr>
          <w:rFonts w:cs="Arial"/>
          <w:szCs w:val="22"/>
          <w:lang w:eastAsia="en-GB"/>
        </w:rPr>
        <w:t>Subclause 1(4) defines the term ‘transitional period’ used in subclause 1(</w:t>
      </w:r>
      <w:r w:rsidR="00A16FA8">
        <w:rPr>
          <w:rFonts w:cs="Arial"/>
          <w:szCs w:val="22"/>
          <w:lang w:eastAsia="en-GB"/>
        </w:rPr>
        <w:t>1</w:t>
      </w:r>
      <w:r>
        <w:rPr>
          <w:rFonts w:cs="Arial"/>
          <w:szCs w:val="22"/>
          <w:lang w:eastAsia="en-GB"/>
        </w:rPr>
        <w:t xml:space="preserve">). The definition provides that the transition period will commence on 18 January 2016 and will end </w:t>
      </w:r>
      <w:r w:rsidR="00A16FA8">
        <w:rPr>
          <w:rFonts w:cs="Arial"/>
          <w:szCs w:val="22"/>
          <w:lang w:eastAsia="en-GB"/>
        </w:rPr>
        <w:t>on 1 March,</w:t>
      </w:r>
      <w:r>
        <w:rPr>
          <w:szCs w:val="22"/>
          <w:lang w:val="en-AU" w:eastAsia="en-GB" w:bidi="ar-SA"/>
        </w:rPr>
        <w:t xml:space="preserve"> which is the date on which the revised Code takes effect</w:t>
      </w:r>
      <w:r>
        <w:rPr>
          <w:rFonts w:cs="Arial"/>
          <w:szCs w:val="22"/>
          <w:lang w:eastAsia="en-GB"/>
        </w:rPr>
        <w:t xml:space="preserve"> and Chapters 1 and 2 of the current Code, including Standard 1.1A.8, will be revoked and replaced. As mentioned above, the </w:t>
      </w:r>
      <w:r>
        <w:rPr>
          <w:szCs w:val="22"/>
          <w:lang w:val="en-AU" w:eastAsia="en-GB" w:bidi="ar-SA"/>
        </w:rPr>
        <w:t xml:space="preserve">revised Code will be amended before 1 March 2016 to establish and continue </w:t>
      </w:r>
      <w:r>
        <w:rPr>
          <w:bCs/>
          <w:szCs w:val="22"/>
        </w:rPr>
        <w:t xml:space="preserve">the same transitional arrangement for </w:t>
      </w:r>
      <w:r>
        <w:rPr>
          <w:szCs w:val="22"/>
        </w:rPr>
        <w:t>claims about the presence or absence of dietary fibre in a food</w:t>
      </w:r>
      <w:r>
        <w:rPr>
          <w:szCs w:val="22"/>
          <w:lang w:val="en-AU" w:eastAsia="en-GB" w:bidi="ar-SA"/>
        </w:rPr>
        <w:t xml:space="preserve"> made during the period from 1 March 2016 </w:t>
      </w:r>
      <w:r w:rsidR="00A22B67">
        <w:rPr>
          <w:szCs w:val="22"/>
          <w:lang w:val="en-AU" w:eastAsia="en-GB" w:bidi="ar-SA"/>
        </w:rPr>
        <w:t xml:space="preserve">until and including </w:t>
      </w:r>
      <w:r w:rsidR="00A22B67">
        <w:rPr>
          <w:rFonts w:cs="Arial"/>
          <w:szCs w:val="22"/>
          <w:lang w:eastAsia="en-GB"/>
        </w:rPr>
        <w:t>17</w:t>
      </w:r>
      <w:r>
        <w:rPr>
          <w:rFonts w:cs="Arial"/>
          <w:szCs w:val="22"/>
          <w:lang w:eastAsia="en-GB"/>
        </w:rPr>
        <w:t xml:space="preserve"> January 2017.</w:t>
      </w:r>
    </w:p>
    <w:p w:rsidR="00A516F5" w:rsidRDefault="00A516F5" w:rsidP="00A516F5">
      <w:pPr>
        <w:pStyle w:val="Clause"/>
        <w:rPr>
          <w:sz w:val="22"/>
          <w:szCs w:val="22"/>
        </w:rPr>
      </w:pPr>
    </w:p>
    <w:p w:rsidR="00A516F5" w:rsidRDefault="00A516F5" w:rsidP="00A516F5">
      <w:pPr>
        <w:pStyle w:val="Clause"/>
        <w:rPr>
          <w:rFonts w:eastAsiaTheme="minorHAnsi" w:cs="Arial"/>
          <w:sz w:val="22"/>
          <w:szCs w:val="22"/>
        </w:rPr>
      </w:pPr>
      <w:r>
        <w:rPr>
          <w:sz w:val="22"/>
          <w:szCs w:val="22"/>
        </w:rPr>
        <w:t>Clause 2 lists the requirements for claims</w:t>
      </w:r>
      <w:r>
        <w:rPr>
          <w:rFonts w:eastAsiaTheme="minorHAnsi" w:cs="Arial"/>
          <w:sz w:val="22"/>
          <w:szCs w:val="22"/>
        </w:rPr>
        <w:t xml:space="preserve"> </w:t>
      </w:r>
      <w:r>
        <w:rPr>
          <w:rFonts w:cs="Arial"/>
          <w:sz w:val="22"/>
          <w:szCs w:val="22"/>
        </w:rPr>
        <w:t>about the presence or absence of dietary fibre</w:t>
      </w:r>
      <w:r>
        <w:rPr>
          <w:rFonts w:eastAsiaTheme="minorHAnsi" w:cs="Arial"/>
          <w:sz w:val="22"/>
          <w:szCs w:val="22"/>
        </w:rPr>
        <w:t xml:space="preserve"> in a food that are permitted by clause 1 of Standard 1.1A.8.</w:t>
      </w:r>
    </w:p>
    <w:p w:rsidR="00A516F5" w:rsidRDefault="00A516F5" w:rsidP="00A516F5">
      <w:pPr>
        <w:pStyle w:val="Clause"/>
        <w:rPr>
          <w:rFonts w:eastAsiaTheme="minorHAnsi" w:cs="Arial"/>
          <w:sz w:val="22"/>
          <w:szCs w:val="22"/>
        </w:rPr>
      </w:pPr>
    </w:p>
    <w:p w:rsidR="00A516F5" w:rsidRDefault="00A516F5" w:rsidP="00A516F5">
      <w:pPr>
        <w:pStyle w:val="Clause"/>
        <w:rPr>
          <w:sz w:val="22"/>
          <w:szCs w:val="22"/>
        </w:rPr>
      </w:pPr>
      <w:r>
        <w:rPr>
          <w:sz w:val="22"/>
          <w:szCs w:val="22"/>
        </w:rPr>
        <w:t xml:space="preserve">Subclause 2(1) permits such </w:t>
      </w:r>
      <w:r>
        <w:rPr>
          <w:rFonts w:eastAsiaTheme="minorHAnsi" w:cs="Arial"/>
          <w:sz w:val="22"/>
          <w:szCs w:val="22"/>
        </w:rPr>
        <w:t>a claim to use any descriptor that is not mentioned in subclause (2). This permission includes the use of a descriptor expressed as a number or in numeric form</w:t>
      </w:r>
      <w:r>
        <w:rPr>
          <w:sz w:val="22"/>
          <w:szCs w:val="22"/>
        </w:rPr>
        <w:t>.</w:t>
      </w:r>
    </w:p>
    <w:p w:rsidR="00A516F5" w:rsidRDefault="00A516F5" w:rsidP="00A516F5">
      <w:pPr>
        <w:pStyle w:val="Clause"/>
        <w:rPr>
          <w:sz w:val="22"/>
          <w:szCs w:val="22"/>
        </w:rPr>
      </w:pPr>
    </w:p>
    <w:p w:rsidR="00A516F5" w:rsidRDefault="00A516F5" w:rsidP="00A516F5">
      <w:pPr>
        <w:pStyle w:val="Clause"/>
        <w:rPr>
          <w:rFonts w:eastAsiaTheme="minorHAnsi" w:cs="Arial"/>
          <w:sz w:val="22"/>
          <w:szCs w:val="22"/>
        </w:rPr>
      </w:pPr>
      <w:r>
        <w:rPr>
          <w:sz w:val="22"/>
          <w:szCs w:val="22"/>
        </w:rPr>
        <w:t xml:space="preserve">Subclause 2(2) imposes a specific condition for the use of the descriptor </w:t>
      </w:r>
      <w:r>
        <w:rPr>
          <w:rFonts w:eastAsiaTheme="minorHAnsi" w:cs="Arial"/>
          <w:sz w:val="22"/>
          <w:szCs w:val="22"/>
        </w:rPr>
        <w:t>‘increased’ or a synonym of that descriptor in such claims—</w:t>
      </w:r>
      <w:r w:rsidRPr="00D10447">
        <w:rPr>
          <w:rFonts w:eastAsiaTheme="minorHAnsi" w:cs="Arial"/>
          <w:sz w:val="22"/>
          <w:szCs w:val="22"/>
        </w:rPr>
        <w:t xml:space="preserve">the relevant food </w:t>
      </w:r>
      <w:r w:rsidRPr="00D93544">
        <w:rPr>
          <w:rFonts w:eastAsiaTheme="minorHAnsi" w:cs="Arial"/>
          <w:sz w:val="22"/>
          <w:szCs w:val="22"/>
        </w:rPr>
        <w:t xml:space="preserve">must </w:t>
      </w:r>
      <w:r w:rsidRPr="00D93544">
        <w:rPr>
          <w:rFonts w:eastAsiaTheme="minorHAnsi" w:cs="Arial"/>
          <w:bCs/>
          <w:sz w:val="22"/>
          <w:szCs w:val="22"/>
          <w:lang w:eastAsia="en-AU"/>
        </w:rPr>
        <w:t>contain at least 25% more dietary fibre than in the same quantity of reference food</w:t>
      </w:r>
      <w:r w:rsidRPr="00D10447">
        <w:rPr>
          <w:rFonts w:eastAsiaTheme="minorHAnsi" w:cs="Arial"/>
          <w:sz w:val="22"/>
          <w:szCs w:val="22"/>
        </w:rPr>
        <w:t>.</w:t>
      </w:r>
    </w:p>
    <w:p w:rsidR="00A516F5" w:rsidRDefault="00A516F5" w:rsidP="00A516F5">
      <w:pPr>
        <w:pStyle w:val="Clause"/>
        <w:rPr>
          <w:rFonts w:eastAsiaTheme="minorHAnsi" w:cs="Arial"/>
          <w:sz w:val="22"/>
          <w:szCs w:val="22"/>
        </w:rPr>
      </w:pPr>
    </w:p>
    <w:p w:rsidR="00A516F5" w:rsidRDefault="00A516F5" w:rsidP="00A516F5">
      <w:pPr>
        <w:pStyle w:val="Clause"/>
        <w:rPr>
          <w:rFonts w:eastAsiaTheme="minorHAnsi" w:cs="Arial"/>
          <w:sz w:val="22"/>
          <w:szCs w:val="22"/>
        </w:rPr>
      </w:pPr>
      <w:r>
        <w:rPr>
          <w:rFonts w:eastAsiaTheme="minorHAnsi" w:cs="Arial"/>
          <w:sz w:val="22"/>
          <w:szCs w:val="22"/>
        </w:rPr>
        <w:t xml:space="preserve">Subclause 2(3) provides definitions for terms used in clause 2 (“food group” and “reference food”). </w:t>
      </w:r>
    </w:p>
    <w:p w:rsidR="00A516F5" w:rsidRDefault="00A516F5" w:rsidP="00A516F5">
      <w:pPr>
        <w:widowControl/>
        <w:rPr>
          <w:szCs w:val="22"/>
        </w:rPr>
      </w:pPr>
      <w:r>
        <w:rPr>
          <w:szCs w:val="22"/>
        </w:rPr>
        <w:br w:type="page"/>
      </w:r>
    </w:p>
    <w:p w:rsidR="00A516F5" w:rsidRDefault="00A516F5" w:rsidP="00A516F5">
      <w:pPr>
        <w:rPr>
          <w:b/>
          <w:sz w:val="28"/>
          <w:szCs w:val="28"/>
        </w:rPr>
      </w:pPr>
      <w:r w:rsidRPr="00D93544">
        <w:rPr>
          <w:b/>
          <w:sz w:val="28"/>
          <w:szCs w:val="28"/>
        </w:rPr>
        <w:lastRenderedPageBreak/>
        <w:t>Food Standards (Application A1101 – Commencement of Dietary Fibre Claim Provisions – Consequential) Variation</w:t>
      </w:r>
    </w:p>
    <w:p w:rsidR="00A516F5" w:rsidRDefault="00A516F5" w:rsidP="00AE57E1"/>
    <w:p w:rsidR="00A516F5" w:rsidRDefault="00A516F5" w:rsidP="00A516F5">
      <w:pPr>
        <w:rPr>
          <w:b/>
          <w:lang w:val="en-AU" w:eastAsia="en-GB" w:bidi="ar-SA"/>
        </w:rPr>
      </w:pPr>
      <w:r>
        <w:rPr>
          <w:b/>
          <w:lang w:val="en-AU" w:eastAsia="en-GB" w:bidi="ar-SA"/>
        </w:rPr>
        <w:t>1.</w:t>
      </w:r>
      <w:r>
        <w:rPr>
          <w:b/>
          <w:lang w:val="en-AU" w:eastAsia="en-GB" w:bidi="ar-SA"/>
        </w:rPr>
        <w:tab/>
        <w:t>Authority</w:t>
      </w:r>
    </w:p>
    <w:p w:rsidR="00A516F5" w:rsidRDefault="00A516F5" w:rsidP="00A516F5">
      <w:pPr>
        <w:rPr>
          <w:lang w:val="en-AU" w:eastAsia="en-GB"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FSANZ accepted Application A1101 which seeks to delay the</w:t>
      </w:r>
      <w:r w:rsidR="00A22B67">
        <w:rPr>
          <w:rFonts w:eastAsia="Calibri" w:cs="Arial"/>
          <w:bCs/>
          <w:szCs w:val="22"/>
          <w:lang w:val="en-AU" w:bidi="ar-SA"/>
        </w:rPr>
        <w:t xml:space="preserve"> requirement to comply with the qualifying criteria for nutrition content claims about dietary </w:t>
      </w:r>
      <w:r>
        <w:rPr>
          <w:rFonts w:eastAsia="Calibri" w:cs="Arial"/>
          <w:bCs/>
          <w:szCs w:val="22"/>
          <w:lang w:val="en-AU" w:bidi="ar-SA"/>
        </w:rPr>
        <w:t>Standard 1.2.7 – Nutrit</w:t>
      </w:r>
      <w:r w:rsidR="00A22B67">
        <w:rPr>
          <w:rFonts w:eastAsia="Calibri" w:cs="Arial"/>
          <w:bCs/>
          <w:szCs w:val="22"/>
          <w:lang w:val="en-AU" w:bidi="ar-SA"/>
        </w:rPr>
        <w:t>ion, Health and Related Claims</w:t>
      </w:r>
      <w:r>
        <w:rPr>
          <w:rFonts w:eastAsia="Calibri" w:cs="Arial"/>
          <w:bCs/>
          <w:szCs w:val="22"/>
          <w:lang w:val="en-AU" w:bidi="ar-SA"/>
        </w:rPr>
        <w:t>, for 12 months (that is, until and including 17 January 2017). The Authority considered the Application in accordance with Division 1 of Part 3 and has approved a draft variation to the Code, which consists of a draft new Transitional Standard</w:t>
      </w:r>
      <w:r w:rsidRPr="00C648FD">
        <w:rPr>
          <w:rFonts w:eastAsia="Calibri" w:cs="Arial"/>
          <w:bCs/>
          <w:szCs w:val="22"/>
          <w:lang w:val="en-AU" w:bidi="ar-SA"/>
        </w:rPr>
        <w:t xml:space="preserve"> </w:t>
      </w:r>
      <w:r>
        <w:rPr>
          <w:rFonts w:eastAsia="Calibri" w:cs="Arial"/>
          <w:bCs/>
          <w:szCs w:val="22"/>
          <w:lang w:val="en-AU" w:bidi="ar-SA"/>
        </w:rPr>
        <w:t>1.1A.8</w:t>
      </w:r>
      <w:r w:rsidR="001E2E05">
        <w:rPr>
          <w:rFonts w:eastAsia="Calibri" w:cs="Arial"/>
          <w:bCs/>
          <w:szCs w:val="22"/>
          <w:lang w:val="en-AU" w:bidi="ar-SA"/>
        </w:rPr>
        <w:t xml:space="preserve"> – </w:t>
      </w:r>
      <w:r w:rsidR="001E2E05">
        <w:rPr>
          <w:szCs w:val="22"/>
        </w:rPr>
        <w:t>Transitional Standard for Dietary Fibre Nutrition Content Claims</w:t>
      </w:r>
      <w:r>
        <w:rPr>
          <w:rFonts w:eastAsia="Calibri" w:cs="Arial"/>
          <w:bCs/>
          <w:szCs w:val="22"/>
          <w:lang w:val="en-AU" w:bidi="ar-SA"/>
        </w:rPr>
        <w:t xml:space="preserve"> and a draft consequential variation to Standard 1.2.7. </w:t>
      </w:r>
    </w:p>
    <w:p w:rsidR="00A516F5" w:rsidRDefault="00A516F5" w:rsidP="00A516F5">
      <w:pPr>
        <w:widowControl/>
        <w:autoSpaceDE w:val="0"/>
        <w:autoSpaceDN w:val="0"/>
        <w:adjustRightInd w:val="0"/>
        <w:rPr>
          <w:rFonts w:eastAsia="Calibri" w:cs="Arial"/>
          <w:bCs/>
          <w:szCs w:val="22"/>
          <w:lang w:val="en-AU" w:bidi="ar-SA"/>
        </w:rPr>
      </w:pPr>
    </w:p>
    <w:p w:rsidR="00A516F5" w:rsidRDefault="00A516F5" w:rsidP="00A516F5">
      <w:pPr>
        <w:rPr>
          <w:b/>
          <w:lang w:val="en-AU" w:eastAsia="en-GB" w:bidi="ar-SA"/>
        </w:rPr>
      </w:pPr>
      <w:r>
        <w:rPr>
          <w:b/>
          <w:lang w:val="en-AU" w:eastAsia="en-GB" w:bidi="ar-SA"/>
        </w:rPr>
        <w:t>2.</w:t>
      </w:r>
      <w:r>
        <w:rPr>
          <w:b/>
          <w:lang w:val="en-AU" w:eastAsia="en-GB" w:bidi="ar-SA"/>
        </w:rPr>
        <w:tab/>
        <w:t xml:space="preserve">Purpose </w:t>
      </w:r>
    </w:p>
    <w:p w:rsidR="00A516F5" w:rsidRDefault="00A516F5" w:rsidP="00A516F5">
      <w:pPr>
        <w:rPr>
          <w:szCs w:val="22"/>
          <w:lang w:val="en-AU" w:eastAsia="en-GB" w:bidi="ar-SA"/>
        </w:rPr>
      </w:pPr>
    </w:p>
    <w:p w:rsidR="00A516F5" w:rsidRDefault="00A516F5" w:rsidP="00A516F5">
      <w:pPr>
        <w:rPr>
          <w:szCs w:val="22"/>
          <w:lang w:val="en-AU" w:eastAsia="en-GB" w:bidi="ar-SA"/>
        </w:rPr>
      </w:pPr>
      <w:r>
        <w:rPr>
          <w:szCs w:val="22"/>
          <w:lang w:val="en-AU" w:eastAsia="en-GB" w:bidi="ar-SA"/>
        </w:rPr>
        <w:t xml:space="preserve">The Authority has approved a draft variation called </w:t>
      </w:r>
      <w:r w:rsidRPr="003B5108">
        <w:rPr>
          <w:i/>
        </w:rPr>
        <w:t>Food Standards (</w:t>
      </w:r>
      <w:r w:rsidRPr="00BC2A1A">
        <w:rPr>
          <w:i/>
        </w:rPr>
        <w:t>Application A1101 –</w:t>
      </w:r>
      <w:r w:rsidRPr="00D93544">
        <w:rPr>
          <w:i/>
          <w:szCs w:val="22"/>
          <w:lang w:val="en-AU" w:eastAsia="en-GB" w:bidi="ar-SA"/>
        </w:rPr>
        <w:t xml:space="preserve"> </w:t>
      </w:r>
      <w:r w:rsidRPr="003B5108">
        <w:rPr>
          <w:i/>
        </w:rPr>
        <w:t>Commencement of Dietary Fibre Claim Provisions – Consequential) Variation</w:t>
      </w:r>
      <w:r>
        <w:t xml:space="preserve"> </w:t>
      </w:r>
      <w:r>
        <w:rPr>
          <w:szCs w:val="22"/>
          <w:lang w:val="en-AU" w:eastAsia="en-GB" w:bidi="ar-SA"/>
        </w:rPr>
        <w:t xml:space="preserve">to make a consequential amendment to Standard 1.2.7 in order to provide an explanation of the transitional arrangement permitted under draft Standard 1.1A.8. </w:t>
      </w:r>
    </w:p>
    <w:p w:rsidR="00A516F5" w:rsidRDefault="00A516F5" w:rsidP="00A516F5">
      <w:pPr>
        <w:rPr>
          <w:lang w:val="en-AU" w:eastAsia="en-GB" w:bidi="ar-SA"/>
        </w:rPr>
      </w:pPr>
    </w:p>
    <w:p w:rsidR="00A516F5" w:rsidRDefault="00A516F5" w:rsidP="00A516F5">
      <w:pPr>
        <w:rPr>
          <w:b/>
          <w:lang w:val="en-AU" w:eastAsia="en-GB" w:bidi="ar-SA"/>
        </w:rPr>
      </w:pPr>
      <w:r>
        <w:rPr>
          <w:b/>
          <w:lang w:val="en-AU" w:eastAsia="en-GB" w:bidi="ar-SA"/>
        </w:rPr>
        <w:t>3.</w:t>
      </w:r>
      <w:r>
        <w:rPr>
          <w:b/>
          <w:lang w:val="en-AU" w:eastAsia="en-GB" w:bidi="ar-SA"/>
        </w:rPr>
        <w:tab/>
        <w:t>Documents incorporated by reference</w:t>
      </w:r>
    </w:p>
    <w:p w:rsidR="00A516F5" w:rsidRDefault="00A516F5" w:rsidP="00A516F5">
      <w:pPr>
        <w:rPr>
          <w:lang w:val="en-AU" w:eastAsia="en-GB" w:bidi="ar-SA"/>
        </w:rPr>
      </w:pPr>
    </w:p>
    <w:p w:rsidR="00A516F5" w:rsidRDefault="00A516F5" w:rsidP="00A516F5">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rsidR="00A516F5" w:rsidRDefault="00A516F5" w:rsidP="00A516F5">
      <w:pPr>
        <w:rPr>
          <w:lang w:val="en-AU" w:eastAsia="en-GB" w:bidi="ar-SA"/>
        </w:rPr>
      </w:pPr>
    </w:p>
    <w:p w:rsidR="00A516F5" w:rsidRDefault="00A516F5" w:rsidP="00A516F5">
      <w:pPr>
        <w:rPr>
          <w:b/>
          <w:lang w:val="en-AU" w:eastAsia="en-GB" w:bidi="ar-SA"/>
        </w:rPr>
      </w:pPr>
      <w:r>
        <w:rPr>
          <w:b/>
          <w:lang w:val="en-AU" w:eastAsia="en-GB" w:bidi="ar-SA"/>
        </w:rPr>
        <w:t>4.</w:t>
      </w:r>
      <w:r>
        <w:rPr>
          <w:b/>
          <w:lang w:val="en-AU" w:eastAsia="en-GB" w:bidi="ar-SA"/>
        </w:rPr>
        <w:tab/>
        <w:t>Consultation</w:t>
      </w:r>
    </w:p>
    <w:p w:rsidR="00A516F5" w:rsidRDefault="00A516F5" w:rsidP="00A516F5">
      <w:pPr>
        <w:rPr>
          <w:lang w:val="en-AU" w:eastAsia="en-GB" w:bidi="ar-SA"/>
        </w:rPr>
      </w:pPr>
    </w:p>
    <w:p w:rsidR="00A516F5" w:rsidRDefault="00A516F5" w:rsidP="00A516F5">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A1101 will include one round of public consultation following an assessment and the preparation of a draft Standard, a draft consequential variation and associated report</w:t>
      </w:r>
      <w:r>
        <w:rPr>
          <w:color w:val="FF0000"/>
          <w:szCs w:val="22"/>
        </w:rPr>
        <w:t>.</w:t>
      </w:r>
    </w:p>
    <w:p w:rsidR="00A516F5" w:rsidRDefault="00A516F5" w:rsidP="00A516F5">
      <w:pPr>
        <w:rPr>
          <w:rFonts w:eastAsia="Calibri"/>
          <w:lang w:val="en-AU" w:bidi="ar-SA"/>
        </w:rPr>
      </w:pPr>
    </w:p>
    <w:p w:rsidR="00A516F5" w:rsidRDefault="00A516F5" w:rsidP="00A516F5">
      <w:pPr>
        <w:widowControl/>
        <w:autoSpaceDE w:val="0"/>
        <w:autoSpaceDN w:val="0"/>
        <w:adjustRightInd w:val="0"/>
      </w:pPr>
      <w:r>
        <w:rPr>
          <w:rFonts w:eastAsia="Calibri" w:cs="Arial"/>
          <w:bCs/>
          <w:szCs w:val="22"/>
          <w:lang w:val="en-AU" w:bidi="ar-SA"/>
        </w:rPr>
        <w:t>A Regulation Impact Statement was not required because the draft variation to the Code is</w:t>
      </w:r>
      <w:r>
        <w:t xml:space="preserve"> likely to have a minor impact on business and individuals (OBPR ID: 17599). </w:t>
      </w:r>
    </w:p>
    <w:p w:rsidR="00A516F5" w:rsidRDefault="00A516F5" w:rsidP="00A516F5">
      <w:pPr>
        <w:widowControl/>
        <w:rPr>
          <w:rFonts w:eastAsiaTheme="minorHAnsi" w:cs="Arial"/>
          <w:b/>
          <w:bCs/>
          <w:szCs w:val="22"/>
          <w:lang w:val="en-AU" w:bidi="ar-SA"/>
        </w:rPr>
      </w:pPr>
    </w:p>
    <w:p w:rsidR="00A516F5" w:rsidRDefault="00A516F5" w:rsidP="00A516F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516F5" w:rsidRDefault="00A516F5" w:rsidP="00A516F5">
      <w:pPr>
        <w:rPr>
          <w:rFonts w:eastAsiaTheme="minorHAnsi"/>
          <w:lang w:val="en-AU" w:bidi="ar-SA"/>
        </w:rPr>
      </w:pPr>
    </w:p>
    <w:p w:rsidR="00A516F5" w:rsidRDefault="00A516F5" w:rsidP="00A516F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A516F5" w:rsidRDefault="00A516F5" w:rsidP="00A516F5">
      <w:pPr>
        <w:rPr>
          <w:rFonts w:eastAsiaTheme="minorHAnsi"/>
          <w:lang w:val="en-AU" w:bidi="ar-SA"/>
        </w:rPr>
      </w:pPr>
    </w:p>
    <w:p w:rsidR="00BF2A53" w:rsidRDefault="00BF2A53" w:rsidP="00A516F5">
      <w:pPr>
        <w:rPr>
          <w:b/>
        </w:rPr>
      </w:pPr>
      <w:r>
        <w:rPr>
          <w:b/>
        </w:rPr>
        <w:br w:type="page"/>
      </w:r>
    </w:p>
    <w:p w:rsidR="00A516F5" w:rsidRDefault="00A516F5" w:rsidP="00A516F5">
      <w:pPr>
        <w:rPr>
          <w:b/>
          <w:lang w:val="en-AU" w:eastAsia="en-GB" w:bidi="ar-SA"/>
        </w:rPr>
      </w:pPr>
      <w:r>
        <w:rPr>
          <w:b/>
        </w:rPr>
        <w:lastRenderedPageBreak/>
        <w:t>6.</w:t>
      </w:r>
      <w:r>
        <w:rPr>
          <w:b/>
        </w:rPr>
        <w:tab/>
      </w:r>
      <w:r>
        <w:rPr>
          <w:b/>
          <w:lang w:val="en-AU" w:eastAsia="en-GB" w:bidi="ar-SA"/>
        </w:rPr>
        <w:t>Variation</w:t>
      </w:r>
    </w:p>
    <w:p w:rsidR="00A516F5" w:rsidRDefault="00A516F5" w:rsidP="00A516F5">
      <w:pPr>
        <w:rPr>
          <w:b/>
          <w:szCs w:val="22"/>
        </w:rPr>
      </w:pPr>
    </w:p>
    <w:p w:rsidR="00A516F5" w:rsidRPr="00AE57E1" w:rsidRDefault="00A516F5" w:rsidP="00A516F5">
      <w:r>
        <w:t>Clause 1 provides that the name of the variation i</w:t>
      </w:r>
      <w:r w:rsidR="002003F1">
        <w:t>s</w:t>
      </w:r>
      <w:r>
        <w:t xml:space="preserve"> </w:t>
      </w:r>
      <w:r w:rsidRPr="003B5108">
        <w:rPr>
          <w:i/>
        </w:rPr>
        <w:t>Food Standards (</w:t>
      </w:r>
      <w:r w:rsidRPr="00BC2A1A">
        <w:rPr>
          <w:i/>
        </w:rPr>
        <w:t>Application A1101 –</w:t>
      </w:r>
      <w:r w:rsidRPr="00D952C8">
        <w:rPr>
          <w:i/>
          <w:szCs w:val="22"/>
          <w:lang w:val="en-AU" w:eastAsia="en-GB" w:bidi="ar-SA"/>
        </w:rPr>
        <w:t xml:space="preserve"> </w:t>
      </w:r>
      <w:r w:rsidRPr="003B5108">
        <w:rPr>
          <w:i/>
        </w:rPr>
        <w:t>Commencement of Dietary Fibre Claim Provisions – Consequential) Variation</w:t>
      </w:r>
      <w:r w:rsidR="00BF2A53" w:rsidRPr="00D16979">
        <w:t>.</w:t>
      </w:r>
    </w:p>
    <w:p w:rsidR="00A516F5" w:rsidRDefault="00A516F5" w:rsidP="00A516F5"/>
    <w:p w:rsidR="00A516F5" w:rsidRDefault="00A516F5" w:rsidP="00A516F5">
      <w:r>
        <w:t>Clause 2 provides that the Code is amended by the Schedule to the variation.</w:t>
      </w:r>
    </w:p>
    <w:p w:rsidR="00A516F5" w:rsidRDefault="00A516F5" w:rsidP="00A516F5"/>
    <w:p w:rsidR="00A516F5" w:rsidRDefault="00A516F5" w:rsidP="00A516F5">
      <w:r>
        <w:t>Clause 3 provides that variation will commence on 18 January 2016, which is also the date on which new Standard 1.1A.8 takes effect.</w:t>
      </w:r>
    </w:p>
    <w:p w:rsidR="00A516F5" w:rsidRDefault="00A516F5" w:rsidP="00A516F5"/>
    <w:p w:rsidR="00A516F5" w:rsidRDefault="00A516F5" w:rsidP="00A516F5">
      <w:r>
        <w:t>Item 1 of the Schedule inserts a new Editorial Note into Standard 1.2.7 explaining that –</w:t>
      </w:r>
    </w:p>
    <w:p w:rsidR="00A516F5" w:rsidRDefault="00A516F5" w:rsidP="00A516F5"/>
    <w:p w:rsidR="00A516F5" w:rsidRDefault="00A516F5" w:rsidP="00AE57E1">
      <w:pPr>
        <w:pStyle w:val="ListParagraph"/>
        <w:numPr>
          <w:ilvl w:val="0"/>
          <w:numId w:val="16"/>
        </w:numPr>
        <w:ind w:left="567" w:hanging="567"/>
      </w:pPr>
      <w:r w:rsidRPr="009469AE">
        <w:t>Standard 1.1A</w:t>
      </w:r>
      <w:r>
        <w:t>.8</w:t>
      </w:r>
      <w:r w:rsidRPr="009469AE">
        <w:t xml:space="preserve"> </w:t>
      </w:r>
      <w:r w:rsidR="00A16FA8">
        <w:t xml:space="preserve">is a transitional Standard that </w:t>
      </w:r>
      <w:r w:rsidRPr="009469AE">
        <w:t>applies to claims about the presence or absence of dietary fibre in a food and operates concurrently with Standard 1.2.7</w:t>
      </w:r>
      <w:r>
        <w:t>;</w:t>
      </w:r>
    </w:p>
    <w:p w:rsidR="00A516F5" w:rsidRDefault="00A16FA8" w:rsidP="00AE57E1">
      <w:pPr>
        <w:pStyle w:val="ListParagraph"/>
        <w:numPr>
          <w:ilvl w:val="0"/>
          <w:numId w:val="16"/>
        </w:numPr>
        <w:ind w:left="567" w:hanging="567"/>
      </w:pPr>
      <w:r>
        <w:t xml:space="preserve">the transitional arrangement permitted under Standard 1.1A.8 allows </w:t>
      </w:r>
      <w:r w:rsidR="00A516F5">
        <w:t>a</w:t>
      </w:r>
      <w:r w:rsidR="00A516F5" w:rsidRPr="009469AE">
        <w:t xml:space="preserve"> supplier making a claim about the presence or absence of dietary fibre in a food </w:t>
      </w:r>
      <w:r>
        <w:t>to either</w:t>
      </w:r>
      <w:r w:rsidRPr="009469AE">
        <w:t xml:space="preserve"> </w:t>
      </w:r>
      <w:r w:rsidR="00A516F5" w:rsidRPr="009469AE">
        <w:t>comply with clause 11 of Standard 1.2.7 or clause 2 of Standard 1.1A</w:t>
      </w:r>
      <w:r w:rsidR="00A516F5">
        <w:t>.8</w:t>
      </w:r>
      <w:r w:rsidR="00A516F5" w:rsidRPr="009469AE">
        <w:t>, but not both</w:t>
      </w:r>
      <w:r w:rsidR="00A516F5">
        <w:t xml:space="preserve">; </w:t>
      </w:r>
    </w:p>
    <w:p w:rsidR="00A516F5" w:rsidRPr="00D93544" w:rsidRDefault="00A516F5" w:rsidP="00AE57E1">
      <w:pPr>
        <w:pStyle w:val="ListParagraph"/>
        <w:numPr>
          <w:ilvl w:val="0"/>
          <w:numId w:val="16"/>
        </w:numPr>
        <w:ind w:left="567" w:hanging="567"/>
      </w:pPr>
      <w:r>
        <w:t xml:space="preserve">this transitional arrangement under </w:t>
      </w:r>
      <w:r w:rsidRPr="009469AE">
        <w:t>Standard 1.1A</w:t>
      </w:r>
      <w:r>
        <w:t>.8</w:t>
      </w:r>
      <w:r w:rsidRPr="009469AE">
        <w:t xml:space="preserve"> </w:t>
      </w:r>
      <w:r>
        <w:t xml:space="preserve">will commence on </w:t>
      </w:r>
      <w:r>
        <w:rPr>
          <w:rFonts w:cs="Arial"/>
          <w:lang w:eastAsia="en-GB"/>
        </w:rPr>
        <w:t xml:space="preserve">18 January 2016 </w:t>
      </w:r>
      <w:r>
        <w:t>and</w:t>
      </w:r>
      <w:r w:rsidRPr="009469AE">
        <w:t xml:space="preserve"> </w:t>
      </w:r>
      <w:r>
        <w:rPr>
          <w:rFonts w:cs="Arial"/>
          <w:lang w:eastAsia="en-GB"/>
        </w:rPr>
        <w:t xml:space="preserve">will </w:t>
      </w:r>
      <w:r w:rsidRPr="008D3F23">
        <w:rPr>
          <w:rFonts w:cs="Arial"/>
          <w:lang w:eastAsia="en-GB"/>
        </w:rPr>
        <w:t xml:space="preserve">cease to operate </w:t>
      </w:r>
      <w:r>
        <w:rPr>
          <w:rFonts w:cs="Arial"/>
          <w:lang w:eastAsia="en-GB"/>
        </w:rPr>
        <w:t>on 1 March 2016 when the revised Code takes effect and that Standard is revoked; and</w:t>
      </w:r>
    </w:p>
    <w:p w:rsidR="00A516F5" w:rsidRPr="00D93544" w:rsidRDefault="00A516F5" w:rsidP="00AE57E1">
      <w:pPr>
        <w:pStyle w:val="ListParagraph"/>
        <w:numPr>
          <w:ilvl w:val="0"/>
          <w:numId w:val="16"/>
        </w:numPr>
        <w:ind w:left="567" w:hanging="567"/>
      </w:pPr>
      <w:proofErr w:type="gramStart"/>
      <w:r w:rsidRPr="00D93544">
        <w:rPr>
          <w:rFonts w:cs="Arial"/>
          <w:lang w:eastAsia="en-GB"/>
        </w:rPr>
        <w:t>the</w:t>
      </w:r>
      <w:proofErr w:type="gramEnd"/>
      <w:r w:rsidRPr="00D93544">
        <w:rPr>
          <w:rFonts w:cs="Arial"/>
          <w:lang w:eastAsia="en-GB"/>
        </w:rPr>
        <w:t xml:space="preserve"> revised Code will provide a similar transitional arrangement until</w:t>
      </w:r>
      <w:r w:rsidR="002E4D73">
        <w:rPr>
          <w:rFonts w:cs="Arial"/>
          <w:lang w:eastAsia="en-GB"/>
        </w:rPr>
        <w:t xml:space="preserve"> and including</w:t>
      </w:r>
      <w:r w:rsidRPr="00D93544">
        <w:rPr>
          <w:rFonts w:cs="Arial"/>
          <w:lang w:eastAsia="en-GB"/>
        </w:rPr>
        <w:t xml:space="preserve"> </w:t>
      </w:r>
      <w:r w:rsidRPr="008D3F23">
        <w:t>1</w:t>
      </w:r>
      <w:r w:rsidR="002E4D73">
        <w:t>7</w:t>
      </w:r>
      <w:r w:rsidRPr="008D3F23">
        <w:t xml:space="preserve"> January </w:t>
      </w:r>
      <w:r>
        <w:t>2017.</w:t>
      </w:r>
    </w:p>
    <w:bookmarkEnd w:id="78"/>
    <w:p w:rsidR="008C055F" w:rsidRPr="003B7FFB" w:rsidRDefault="008C055F" w:rsidP="00A06E7E"/>
    <w:p w:rsidR="00CF4051" w:rsidRPr="00F646E6" w:rsidRDefault="00CF4051" w:rsidP="00CF4051">
      <w:pPr>
        <w:rPr>
          <w:szCs w:val="22"/>
        </w:rPr>
      </w:pPr>
    </w:p>
    <w:p w:rsidR="00483140" w:rsidRDefault="00483140">
      <w:pPr>
        <w:widowControl/>
      </w:pPr>
      <w:r>
        <w:br w:type="page"/>
      </w:r>
    </w:p>
    <w:p w:rsidR="00483140" w:rsidRDefault="00483140" w:rsidP="00483140">
      <w:pPr>
        <w:pStyle w:val="Heading2"/>
        <w:ind w:left="0" w:firstLine="0"/>
        <w:rPr>
          <w:color w:val="000000" w:themeColor="text1"/>
        </w:rPr>
      </w:pPr>
      <w:bookmarkStart w:id="80" w:name="_Toc414615585"/>
      <w:r w:rsidRPr="00932F14">
        <w:lastRenderedPageBreak/>
        <w:t xml:space="preserve">Attachment </w:t>
      </w:r>
      <w:r>
        <w:t>C</w:t>
      </w:r>
      <w:r>
        <w:rPr>
          <w:color w:val="000000" w:themeColor="text1"/>
        </w:rPr>
        <w:t xml:space="preserve"> </w:t>
      </w:r>
      <w:r w:rsidRPr="00B268FE">
        <w:rPr>
          <w:color w:val="000000" w:themeColor="text1"/>
        </w:rPr>
        <w:t xml:space="preserve">– </w:t>
      </w:r>
      <w:r w:rsidR="009C0D35" w:rsidRPr="006D572E">
        <w:rPr>
          <w:color w:val="000000" w:themeColor="text1"/>
        </w:rPr>
        <w:t>Draft variation</w:t>
      </w:r>
      <w:r w:rsidR="006041BB">
        <w:rPr>
          <w:color w:val="000000" w:themeColor="text1"/>
        </w:rPr>
        <w:t>s</w:t>
      </w:r>
      <w:r w:rsidR="009C0D35" w:rsidRPr="006D572E">
        <w:rPr>
          <w:color w:val="000000" w:themeColor="text1"/>
        </w:rPr>
        <w:t xml:space="preserve"> to the </w:t>
      </w:r>
      <w:r w:rsidR="009C0D35" w:rsidRPr="006D572E">
        <w:rPr>
          <w:i/>
          <w:color w:val="000000" w:themeColor="text1"/>
        </w:rPr>
        <w:t xml:space="preserve">Australia New Zealand Food Standards Code </w:t>
      </w:r>
      <w:r w:rsidR="005F2BCC">
        <w:rPr>
          <w:color w:val="000000" w:themeColor="text1"/>
        </w:rPr>
        <w:t>(from 1 March 2016)</w:t>
      </w:r>
      <w:bookmarkEnd w:id="80"/>
    </w:p>
    <w:p w:rsidR="006041BB" w:rsidRPr="00C0014E" w:rsidRDefault="006041BB" w:rsidP="006041BB">
      <w:pPr>
        <w:rPr>
          <w:noProof/>
          <w:sz w:val="20"/>
          <w:lang w:val="en-AU" w:eastAsia="en-AU"/>
        </w:rPr>
      </w:pPr>
      <w:r w:rsidRPr="00C0014E">
        <w:rPr>
          <w:noProof/>
          <w:sz w:val="20"/>
          <w:lang w:eastAsia="en-GB" w:bidi="ar-SA"/>
        </w:rPr>
        <w:drawing>
          <wp:inline distT="0" distB="0" distL="0" distR="0" wp14:anchorId="598CB764" wp14:editId="06646A59">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041BB" w:rsidRPr="00DC07D2" w:rsidRDefault="006041BB" w:rsidP="006041BB">
      <w:pPr>
        <w:rPr>
          <w:sz w:val="20"/>
        </w:rPr>
      </w:pPr>
    </w:p>
    <w:p w:rsidR="006041BB" w:rsidRPr="00D84E5F" w:rsidRDefault="006041BB" w:rsidP="006041BB">
      <w:pPr>
        <w:pBdr>
          <w:bottom w:val="single" w:sz="4" w:space="1" w:color="auto"/>
        </w:pBdr>
        <w:rPr>
          <w:b/>
          <w:sz w:val="20"/>
          <w:szCs w:val="20"/>
        </w:rPr>
      </w:pPr>
      <w:r w:rsidRPr="00D84E5F">
        <w:rPr>
          <w:b/>
          <w:i/>
          <w:sz w:val="20"/>
          <w:szCs w:val="20"/>
        </w:rPr>
        <w:t>Food Standards Australia New Zealand Code</w:t>
      </w:r>
      <w:r w:rsidRPr="00D84E5F">
        <w:rPr>
          <w:b/>
          <w:sz w:val="20"/>
          <w:szCs w:val="20"/>
        </w:rPr>
        <w:t xml:space="preserve"> –</w:t>
      </w:r>
      <w:r w:rsidRPr="00D84E5F">
        <w:rPr>
          <w:b/>
          <w:color w:val="000000"/>
          <w:sz w:val="20"/>
          <w:szCs w:val="20"/>
        </w:rPr>
        <w:t xml:space="preserve"> Revocation and Transitional Variation</w:t>
      </w:r>
      <w:r w:rsidRPr="00D84E5F">
        <w:rPr>
          <w:b/>
          <w:sz w:val="20"/>
          <w:szCs w:val="20"/>
        </w:rPr>
        <w:t xml:space="preserve"> 2015 (</w:t>
      </w:r>
      <w:r w:rsidR="00D22676">
        <w:rPr>
          <w:b/>
          <w:sz w:val="20"/>
        </w:rPr>
        <w:t xml:space="preserve">Application A1101 </w:t>
      </w:r>
      <w:r w:rsidR="00D22676" w:rsidRPr="00A32232">
        <w:rPr>
          <w:b/>
          <w:sz w:val="20"/>
        </w:rPr>
        <w:t>–</w:t>
      </w:r>
      <w:r w:rsidR="00D22676">
        <w:rPr>
          <w:b/>
          <w:sz w:val="20"/>
        </w:rPr>
        <w:t xml:space="preserve"> </w:t>
      </w:r>
      <w:r w:rsidR="00D22676" w:rsidRPr="008278F3">
        <w:rPr>
          <w:b/>
          <w:sz w:val="20"/>
        </w:rPr>
        <w:t>Commencement of Dietary Fibre Claim Provisions</w:t>
      </w:r>
      <w:r w:rsidR="00D22676">
        <w:rPr>
          <w:b/>
          <w:sz w:val="20"/>
        </w:rPr>
        <w:t>)</w:t>
      </w:r>
    </w:p>
    <w:p w:rsidR="006041BB" w:rsidRPr="00AE57E1" w:rsidRDefault="006041BB" w:rsidP="006041BB">
      <w:pPr>
        <w:pBdr>
          <w:bottom w:val="single" w:sz="4" w:space="1" w:color="auto"/>
        </w:pBdr>
        <w:rPr>
          <w:b/>
          <w:sz w:val="20"/>
          <w:szCs w:val="20"/>
        </w:rPr>
      </w:pPr>
    </w:p>
    <w:p w:rsidR="006041BB" w:rsidRPr="008F2616" w:rsidRDefault="006041BB" w:rsidP="006041BB">
      <w:pPr>
        <w:rPr>
          <w:sz w:val="20"/>
        </w:rPr>
      </w:pPr>
    </w:p>
    <w:p w:rsidR="006041BB" w:rsidRPr="008F2616" w:rsidRDefault="006041BB" w:rsidP="006041BB">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rsidR="006041BB" w:rsidRPr="008F2616" w:rsidRDefault="006041BB" w:rsidP="006041BB">
      <w:pPr>
        <w:rPr>
          <w:sz w:val="20"/>
        </w:rPr>
      </w:pPr>
    </w:p>
    <w:p w:rsidR="006041BB" w:rsidRPr="008F2616" w:rsidRDefault="006041BB" w:rsidP="006041BB">
      <w:pPr>
        <w:rPr>
          <w:sz w:val="20"/>
        </w:rPr>
      </w:pPr>
      <w:r w:rsidRPr="008F2616">
        <w:rPr>
          <w:sz w:val="20"/>
        </w:rPr>
        <w:t xml:space="preserve">Dated </w:t>
      </w:r>
      <w:r>
        <w:rPr>
          <w:sz w:val="20"/>
        </w:rPr>
        <w:t>[To be completed by Standards Management Officer]</w:t>
      </w:r>
    </w:p>
    <w:p w:rsidR="006041BB" w:rsidRPr="008F2616" w:rsidRDefault="006041BB" w:rsidP="006041BB">
      <w:pPr>
        <w:rPr>
          <w:sz w:val="20"/>
        </w:rPr>
      </w:pPr>
    </w:p>
    <w:p w:rsidR="006041BB" w:rsidRDefault="006041BB" w:rsidP="006041BB">
      <w:pPr>
        <w:rPr>
          <w:sz w:val="20"/>
        </w:rPr>
      </w:pPr>
    </w:p>
    <w:p w:rsidR="006041BB" w:rsidRDefault="006041BB" w:rsidP="006041BB">
      <w:pPr>
        <w:rPr>
          <w:sz w:val="20"/>
        </w:rPr>
      </w:pPr>
    </w:p>
    <w:p w:rsidR="006041BB" w:rsidRPr="008F2616" w:rsidRDefault="006041BB" w:rsidP="006041BB">
      <w:pPr>
        <w:rPr>
          <w:sz w:val="20"/>
        </w:rPr>
      </w:pPr>
    </w:p>
    <w:p w:rsidR="006041BB" w:rsidRPr="008F2616" w:rsidRDefault="006041BB" w:rsidP="006041BB">
      <w:pPr>
        <w:rPr>
          <w:sz w:val="20"/>
        </w:rPr>
      </w:pPr>
    </w:p>
    <w:p w:rsidR="006041BB" w:rsidRPr="008F2616" w:rsidRDefault="006041BB" w:rsidP="006041BB">
      <w:pPr>
        <w:rPr>
          <w:sz w:val="20"/>
        </w:rPr>
      </w:pPr>
      <w:r w:rsidRPr="008F2616">
        <w:rPr>
          <w:sz w:val="20"/>
        </w:rPr>
        <w:t>Standards Management Officer</w:t>
      </w:r>
    </w:p>
    <w:p w:rsidR="006041BB" w:rsidRPr="008F2616" w:rsidRDefault="006041BB" w:rsidP="006041BB">
      <w:pPr>
        <w:rPr>
          <w:sz w:val="20"/>
        </w:rPr>
      </w:pPr>
      <w:r w:rsidRPr="008F2616">
        <w:rPr>
          <w:sz w:val="20"/>
        </w:rPr>
        <w:t>Delegate of the Board of Food Standards Australia New Zealand</w:t>
      </w: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Pr="00574DE1" w:rsidRDefault="006041BB" w:rsidP="006041BB">
      <w:pPr>
        <w:pStyle w:val="EditorialNoteLine1"/>
        <w:rPr>
          <w:lang w:val="en-AU"/>
        </w:rPr>
      </w:pPr>
      <w:r w:rsidRPr="00574DE1">
        <w:rPr>
          <w:lang w:val="en-AU"/>
        </w:rPr>
        <w:t xml:space="preserve">Note:  </w:t>
      </w:r>
    </w:p>
    <w:p w:rsidR="006041BB" w:rsidRPr="00574DE1" w:rsidRDefault="006041BB" w:rsidP="006041BB">
      <w:pPr>
        <w:pStyle w:val="EditorialNotetext"/>
        <w:rPr>
          <w:lang w:val="en-AU"/>
        </w:rPr>
      </w:pPr>
    </w:p>
    <w:p w:rsidR="006041BB" w:rsidRDefault="006041BB" w:rsidP="006041BB">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rsidR="006041BB" w:rsidRDefault="006041BB" w:rsidP="006041BB">
      <w:pPr>
        <w:rPr>
          <w:sz w:val="20"/>
        </w:rPr>
      </w:pPr>
    </w:p>
    <w:p w:rsidR="006041BB" w:rsidRDefault="006041BB" w:rsidP="006041BB">
      <w:pPr>
        <w:pStyle w:val="ttCrest"/>
        <w:rPr>
          <w:b/>
        </w:rPr>
      </w:pPr>
    </w:p>
    <w:p w:rsidR="006041BB" w:rsidRDefault="006041BB" w:rsidP="006041BB">
      <w:pPr>
        <w:pStyle w:val="ttCrest"/>
        <w:rPr>
          <w:b/>
        </w:rPr>
      </w:pPr>
      <w:r>
        <w:rPr>
          <w:b/>
        </w:rPr>
        <w:br w:type="page"/>
      </w:r>
    </w:p>
    <w:p w:rsidR="006041BB" w:rsidRPr="00D84E5F" w:rsidRDefault="006041BB" w:rsidP="006041BB">
      <w:pPr>
        <w:pStyle w:val="HR"/>
        <w:spacing w:before="120" w:after="120"/>
        <w:rPr>
          <w:rFonts w:cs="Arial"/>
          <w:sz w:val="20"/>
          <w:szCs w:val="20"/>
        </w:rPr>
      </w:pPr>
      <w:r w:rsidRPr="00D84E5F">
        <w:rPr>
          <w:rFonts w:cs="Arial"/>
          <w:sz w:val="20"/>
          <w:szCs w:val="20"/>
        </w:rPr>
        <w:lastRenderedPageBreak/>
        <w:t>1</w:t>
      </w:r>
      <w:r w:rsidRPr="00D84E5F">
        <w:rPr>
          <w:rFonts w:cs="Arial"/>
          <w:sz w:val="20"/>
          <w:szCs w:val="20"/>
        </w:rPr>
        <w:tab/>
        <w:t>Name of instrument</w:t>
      </w:r>
    </w:p>
    <w:p w:rsidR="006041BB" w:rsidRPr="00D22676" w:rsidRDefault="006041BB" w:rsidP="006041BB">
      <w:pPr>
        <w:pStyle w:val="R1"/>
        <w:spacing w:after="120"/>
        <w:rPr>
          <w:rFonts w:ascii="Arial" w:hAnsi="Arial" w:cs="Arial"/>
          <w:i/>
          <w:sz w:val="20"/>
          <w:szCs w:val="20"/>
        </w:rPr>
      </w:pPr>
      <w:r w:rsidRPr="00D84E5F">
        <w:rPr>
          <w:rFonts w:ascii="Arial" w:hAnsi="Arial" w:cs="Arial"/>
          <w:sz w:val="20"/>
          <w:szCs w:val="20"/>
        </w:rPr>
        <w:tab/>
      </w:r>
      <w:r w:rsidRPr="00D84E5F">
        <w:rPr>
          <w:rFonts w:ascii="Arial" w:hAnsi="Arial" w:cs="Arial"/>
          <w:sz w:val="20"/>
          <w:szCs w:val="20"/>
        </w:rPr>
        <w:tab/>
        <w:t xml:space="preserve">This instrument is the </w:t>
      </w:r>
      <w:r w:rsidRPr="00D84E5F">
        <w:rPr>
          <w:rFonts w:ascii="Arial" w:hAnsi="Arial" w:cs="Arial"/>
          <w:i/>
          <w:sz w:val="20"/>
          <w:szCs w:val="20"/>
        </w:rPr>
        <w:t xml:space="preserve">Food Standards Australia New Zealand Code </w:t>
      </w:r>
      <w:r w:rsidRPr="00D84E5F">
        <w:rPr>
          <w:rFonts w:ascii="Arial" w:hAnsi="Arial" w:cs="Arial"/>
          <w:i/>
          <w:color w:val="000000"/>
          <w:sz w:val="20"/>
          <w:szCs w:val="20"/>
        </w:rPr>
        <w:t xml:space="preserve">— </w:t>
      </w:r>
      <w:r w:rsidRPr="00D84E5F">
        <w:rPr>
          <w:rFonts w:ascii="Arial" w:hAnsi="Arial" w:cs="Arial"/>
          <w:i/>
          <w:color w:val="000000"/>
          <w:sz w:val="20"/>
          <w:szCs w:val="20"/>
          <w:lang w:val="en-GB"/>
        </w:rPr>
        <w:t>Revocation and Transitional Variation</w:t>
      </w:r>
      <w:r w:rsidRPr="00D84E5F">
        <w:rPr>
          <w:rFonts w:ascii="Arial" w:hAnsi="Arial" w:cs="Arial"/>
          <w:i/>
          <w:sz w:val="20"/>
          <w:szCs w:val="20"/>
        </w:rPr>
        <w:t xml:space="preserve"> 2015 </w:t>
      </w:r>
      <w:r w:rsidRPr="00D22676">
        <w:rPr>
          <w:rFonts w:ascii="Arial" w:hAnsi="Arial" w:cs="Arial"/>
          <w:sz w:val="20"/>
          <w:szCs w:val="20"/>
        </w:rPr>
        <w:t>(</w:t>
      </w:r>
      <w:r w:rsidR="00D22676" w:rsidRPr="00D22676">
        <w:rPr>
          <w:rFonts w:ascii="Arial" w:hAnsi="Arial" w:cs="Arial"/>
          <w:sz w:val="20"/>
        </w:rPr>
        <w:t>Application A1101 – Commencement of Dietary Fibre Claim Provisions</w:t>
      </w:r>
      <w:r w:rsidRPr="00D22676">
        <w:rPr>
          <w:rFonts w:ascii="Arial" w:hAnsi="Arial" w:cs="Arial"/>
          <w:sz w:val="20"/>
          <w:szCs w:val="20"/>
        </w:rPr>
        <w:t>)</w:t>
      </w:r>
      <w:r w:rsidRPr="00D22676">
        <w:rPr>
          <w:rFonts w:ascii="Arial" w:hAnsi="Arial" w:cs="Arial"/>
          <w:i/>
          <w:sz w:val="20"/>
          <w:szCs w:val="20"/>
        </w:rPr>
        <w:t>.</w:t>
      </w:r>
    </w:p>
    <w:p w:rsidR="006041BB" w:rsidRPr="00D84E5F" w:rsidRDefault="006041BB" w:rsidP="006041BB">
      <w:pPr>
        <w:pStyle w:val="HR"/>
        <w:spacing w:before="120" w:after="120"/>
        <w:rPr>
          <w:rFonts w:cs="Arial"/>
          <w:sz w:val="20"/>
          <w:szCs w:val="20"/>
        </w:rPr>
      </w:pPr>
      <w:r w:rsidRPr="00D84E5F">
        <w:rPr>
          <w:rFonts w:cs="Arial"/>
          <w:sz w:val="20"/>
          <w:szCs w:val="20"/>
        </w:rPr>
        <w:t>2</w:t>
      </w:r>
      <w:r w:rsidRPr="00D84E5F">
        <w:rPr>
          <w:rFonts w:cs="Arial"/>
          <w:sz w:val="20"/>
          <w:szCs w:val="20"/>
        </w:rPr>
        <w:tab/>
        <w:t>Commencement</w:t>
      </w:r>
    </w:p>
    <w:p w:rsidR="006041BB" w:rsidRPr="00D84E5F" w:rsidRDefault="006041BB" w:rsidP="006041BB">
      <w:pPr>
        <w:pStyle w:val="R1"/>
        <w:spacing w:after="120"/>
        <w:rPr>
          <w:rFonts w:ascii="Arial" w:hAnsi="Arial" w:cs="Arial"/>
          <w:sz w:val="20"/>
          <w:szCs w:val="20"/>
        </w:rPr>
      </w:pPr>
      <w:r w:rsidRPr="00D84E5F">
        <w:rPr>
          <w:rFonts w:ascii="Arial" w:hAnsi="Arial" w:cs="Arial"/>
          <w:sz w:val="20"/>
          <w:szCs w:val="20"/>
        </w:rPr>
        <w:tab/>
      </w:r>
      <w:r w:rsidRPr="00D84E5F">
        <w:rPr>
          <w:rFonts w:ascii="Arial" w:hAnsi="Arial" w:cs="Arial"/>
          <w:sz w:val="20"/>
          <w:szCs w:val="20"/>
        </w:rPr>
        <w:tab/>
      </w:r>
      <w:r w:rsidRPr="00EB7989">
        <w:rPr>
          <w:rFonts w:ascii="Arial" w:hAnsi="Arial" w:cs="Arial"/>
          <w:sz w:val="20"/>
          <w:szCs w:val="20"/>
        </w:rPr>
        <w:t xml:space="preserve">This instrument commences </w:t>
      </w:r>
      <w:r w:rsidR="006F3C61" w:rsidRPr="00EB7989">
        <w:rPr>
          <w:rFonts w:ascii="Arial" w:hAnsi="Arial" w:cs="Arial"/>
          <w:sz w:val="20"/>
          <w:szCs w:val="20"/>
        </w:rPr>
        <w:t xml:space="preserve">on 1 March 2016 </w:t>
      </w:r>
      <w:r w:rsidR="00EE7A98" w:rsidRPr="00EB7989">
        <w:rPr>
          <w:rFonts w:ascii="Arial" w:hAnsi="Arial" w:cs="Arial"/>
          <w:sz w:val="20"/>
          <w:szCs w:val="20"/>
        </w:rPr>
        <w:t xml:space="preserve">immediately after the commencement of </w:t>
      </w:r>
      <w:r w:rsidR="006F3C61" w:rsidRPr="00EB7989">
        <w:rPr>
          <w:rFonts w:ascii="Arial" w:hAnsi="Arial" w:cs="Arial"/>
          <w:sz w:val="20"/>
          <w:szCs w:val="20"/>
        </w:rPr>
        <w:t>Standard 5.1.1 – Revocation and transitional provisions</w:t>
      </w:r>
      <w:r w:rsidR="00B97AD7" w:rsidRPr="00EB7989">
        <w:rPr>
          <w:rFonts w:ascii="Arial" w:hAnsi="Arial" w:cs="Arial"/>
          <w:sz w:val="20"/>
          <w:szCs w:val="20"/>
        </w:rPr>
        <w:t xml:space="preserve"> </w:t>
      </w:r>
      <w:r w:rsidR="00B97AD7" w:rsidRPr="00EB7989">
        <w:t>—</w:t>
      </w:r>
      <w:r w:rsidR="00B97AD7">
        <w:rPr>
          <w:rFonts w:ascii="Arial" w:hAnsi="Arial" w:cs="Arial"/>
          <w:sz w:val="20"/>
          <w:szCs w:val="20"/>
        </w:rPr>
        <w:t xml:space="preserve"> 2014 Revision</w:t>
      </w:r>
      <w:r w:rsidRPr="00D84E5F">
        <w:rPr>
          <w:rFonts w:ascii="Arial" w:hAnsi="Arial" w:cs="Arial"/>
          <w:sz w:val="20"/>
          <w:szCs w:val="20"/>
        </w:rPr>
        <w:t>.</w:t>
      </w:r>
    </w:p>
    <w:p w:rsidR="006041BB" w:rsidRPr="00D84E5F" w:rsidRDefault="006041BB" w:rsidP="006041BB">
      <w:pPr>
        <w:pStyle w:val="HR"/>
        <w:spacing w:before="120" w:after="120"/>
        <w:rPr>
          <w:rFonts w:cs="Arial"/>
          <w:sz w:val="20"/>
          <w:szCs w:val="20"/>
        </w:rPr>
      </w:pPr>
      <w:r>
        <w:rPr>
          <w:rFonts w:cs="Arial"/>
          <w:sz w:val="20"/>
          <w:szCs w:val="20"/>
        </w:rPr>
        <w:t>3</w:t>
      </w:r>
      <w:r>
        <w:rPr>
          <w:rFonts w:cs="Arial"/>
          <w:sz w:val="20"/>
          <w:szCs w:val="20"/>
        </w:rPr>
        <w:tab/>
        <w:t xml:space="preserve">Variation </w:t>
      </w:r>
      <w:r w:rsidRPr="00D84E5F">
        <w:rPr>
          <w:rFonts w:cs="Arial"/>
          <w:sz w:val="20"/>
          <w:szCs w:val="20"/>
        </w:rPr>
        <w:t>of Part 1.2</w:t>
      </w:r>
    </w:p>
    <w:p w:rsidR="006041BB" w:rsidRPr="00D84E5F" w:rsidRDefault="006041BB" w:rsidP="006041BB">
      <w:pPr>
        <w:pStyle w:val="R1"/>
        <w:spacing w:after="120"/>
        <w:rPr>
          <w:rFonts w:ascii="Arial" w:hAnsi="Arial" w:cs="Arial"/>
          <w:sz w:val="20"/>
          <w:szCs w:val="20"/>
        </w:rPr>
      </w:pPr>
      <w:r>
        <w:rPr>
          <w:rFonts w:ascii="Arial" w:hAnsi="Arial" w:cs="Arial"/>
          <w:sz w:val="20"/>
          <w:szCs w:val="20"/>
        </w:rPr>
        <w:tab/>
      </w:r>
      <w:r>
        <w:rPr>
          <w:rFonts w:ascii="Arial" w:hAnsi="Arial" w:cs="Arial"/>
          <w:sz w:val="20"/>
          <w:szCs w:val="20"/>
        </w:rPr>
        <w:tab/>
        <w:t>Schedule 1</w:t>
      </w:r>
      <w:r w:rsidRPr="00D84E5F">
        <w:rPr>
          <w:rFonts w:ascii="Arial" w:hAnsi="Arial" w:cs="Arial"/>
          <w:sz w:val="20"/>
          <w:szCs w:val="20"/>
        </w:rPr>
        <w:t xml:space="preserve"> varies the </w:t>
      </w:r>
      <w:r w:rsidRPr="00D84E5F">
        <w:rPr>
          <w:rFonts w:ascii="Arial" w:hAnsi="Arial" w:cs="Arial"/>
          <w:i/>
          <w:sz w:val="20"/>
          <w:szCs w:val="20"/>
        </w:rPr>
        <w:t>Australia New Zealand Food Standards Code</w:t>
      </w:r>
      <w:r w:rsidRPr="00D84E5F">
        <w:rPr>
          <w:rFonts w:ascii="Arial" w:hAnsi="Arial" w:cs="Arial"/>
          <w:sz w:val="20"/>
          <w:szCs w:val="20"/>
        </w:rPr>
        <w:t xml:space="preserve"> – Part 1.2 – Labelling and other information requirements.</w:t>
      </w:r>
    </w:p>
    <w:p w:rsidR="006041BB" w:rsidRDefault="006041BB" w:rsidP="006041BB">
      <w:pPr>
        <w:pStyle w:val="Scheduletitle"/>
        <w:spacing w:before="120"/>
        <w:rPr>
          <w:rFonts w:cs="Arial"/>
          <w:sz w:val="26"/>
          <w:szCs w:val="20"/>
        </w:rPr>
      </w:pPr>
    </w:p>
    <w:p w:rsidR="006041BB" w:rsidRPr="00D84E5F" w:rsidRDefault="006041BB" w:rsidP="006041BB">
      <w:pPr>
        <w:pStyle w:val="Scheduletitle"/>
        <w:spacing w:before="120"/>
        <w:ind w:left="0" w:firstLine="0"/>
        <w:rPr>
          <w:rFonts w:cs="Arial"/>
          <w:sz w:val="26"/>
          <w:szCs w:val="32"/>
        </w:rPr>
      </w:pPr>
      <w:r w:rsidRPr="00D84E5F">
        <w:rPr>
          <w:rFonts w:cs="Arial"/>
          <w:sz w:val="26"/>
          <w:szCs w:val="20"/>
        </w:rPr>
        <w:t>Schedule 1</w:t>
      </w:r>
      <w:r w:rsidRPr="00D84E5F">
        <w:rPr>
          <w:rFonts w:cs="Arial"/>
          <w:sz w:val="26"/>
          <w:szCs w:val="20"/>
        </w:rPr>
        <w:tab/>
      </w:r>
      <w:r w:rsidRPr="00D84E5F">
        <w:rPr>
          <w:rFonts w:cs="Arial"/>
          <w:sz w:val="26"/>
          <w:szCs w:val="32"/>
        </w:rPr>
        <w:t>Variation of Part 1.2</w:t>
      </w:r>
    </w:p>
    <w:p w:rsidR="006041BB" w:rsidRPr="00D84E5F" w:rsidRDefault="006041BB" w:rsidP="006041BB">
      <w:pPr>
        <w:rPr>
          <w:sz w:val="20"/>
          <w:szCs w:val="20"/>
        </w:rPr>
      </w:pPr>
    </w:p>
    <w:p w:rsidR="006041BB" w:rsidRDefault="006041BB" w:rsidP="006041BB">
      <w:pPr>
        <w:ind w:left="567" w:hanging="567"/>
        <w:rPr>
          <w:sz w:val="20"/>
          <w:szCs w:val="20"/>
        </w:rPr>
      </w:pPr>
      <w:r w:rsidRPr="00D84E5F">
        <w:rPr>
          <w:sz w:val="20"/>
          <w:szCs w:val="20"/>
        </w:rPr>
        <w:t>[1]</w:t>
      </w:r>
      <w:r w:rsidRPr="00D84E5F">
        <w:rPr>
          <w:sz w:val="20"/>
          <w:szCs w:val="20"/>
        </w:rPr>
        <w:tab/>
        <w:t xml:space="preserve">After “Standard 1.2.11 – </w:t>
      </w:r>
      <w:r>
        <w:rPr>
          <w:sz w:val="20"/>
          <w:szCs w:val="20"/>
        </w:rPr>
        <w:t xml:space="preserve">Information requirements - </w:t>
      </w:r>
      <w:r w:rsidRPr="00D84E5F">
        <w:rPr>
          <w:sz w:val="20"/>
          <w:szCs w:val="20"/>
        </w:rPr>
        <w:t>Country of origin labelling requirements”, insert as a new Standard:</w:t>
      </w:r>
    </w:p>
    <w:p w:rsidR="006041BB" w:rsidRPr="00D84E5F" w:rsidRDefault="006041BB" w:rsidP="006041BB">
      <w:pPr>
        <w:ind w:left="567" w:hanging="567"/>
        <w:rPr>
          <w:sz w:val="20"/>
          <w:szCs w:val="20"/>
        </w:rPr>
      </w:pPr>
    </w:p>
    <w:p w:rsidR="006041BB" w:rsidRPr="00AE57E1" w:rsidRDefault="006041BB" w:rsidP="006041BB">
      <w:pPr>
        <w:pStyle w:val="FSCh3Standard"/>
        <w:rPr>
          <w:lang w:val="en-GB"/>
        </w:rPr>
      </w:pPr>
      <w:r w:rsidRPr="00AE57E1">
        <w:rPr>
          <w:b w:val="0"/>
          <w:lang w:val="en-GB"/>
        </w:rPr>
        <w:t>“</w:t>
      </w:r>
      <w:r w:rsidRPr="00AE57E1">
        <w:rPr>
          <w:lang w:val="en-GB"/>
        </w:rPr>
        <w:t xml:space="preserve">Standard 1.2.12 </w:t>
      </w:r>
      <w:r w:rsidRPr="00AE57E1">
        <w:rPr>
          <w:lang w:val="en-GB"/>
        </w:rPr>
        <w:tab/>
        <w:t>Transitional standard for dietary fibre nutrition content claims</w:t>
      </w:r>
    </w:p>
    <w:p w:rsidR="006041BB" w:rsidRPr="00D84E5F" w:rsidRDefault="006041BB" w:rsidP="006041BB">
      <w:pPr>
        <w:pStyle w:val="FSCnatHeading"/>
        <w:rPr>
          <w:sz w:val="18"/>
        </w:rPr>
      </w:pPr>
      <w:r w:rsidRPr="00D84E5F">
        <w:rPr>
          <w:b/>
          <w:i/>
          <w:sz w:val="18"/>
        </w:rPr>
        <w:t>Note 1</w:t>
      </w:r>
      <w:r w:rsidRPr="00D84E5F">
        <w:rPr>
          <w:sz w:val="18"/>
        </w:rPr>
        <w:tab/>
        <w:t xml:space="preserve">This instrument is a standard under the </w:t>
      </w:r>
      <w:r w:rsidRPr="00D84E5F">
        <w:rPr>
          <w:i/>
          <w:sz w:val="18"/>
        </w:rPr>
        <w:t>Food Standards Australia New Zealand Act 1991</w:t>
      </w:r>
      <w:r w:rsidRPr="00D84E5F">
        <w:rPr>
          <w:sz w:val="18"/>
        </w:rPr>
        <w:t xml:space="preserve"> (Cth). The standards together make up the </w:t>
      </w:r>
      <w:r w:rsidRPr="00D84E5F">
        <w:rPr>
          <w:i/>
          <w:sz w:val="18"/>
        </w:rPr>
        <w:t>Australia New Zealand Food Standards Cod</w:t>
      </w:r>
      <w:r w:rsidRPr="00D84E5F">
        <w:rPr>
          <w:sz w:val="18"/>
        </w:rPr>
        <w:t>e</w:t>
      </w:r>
      <w:r w:rsidRPr="00D84E5F">
        <w:rPr>
          <w:i/>
          <w:sz w:val="18"/>
        </w:rPr>
        <w:t>.</w:t>
      </w:r>
      <w:r w:rsidRPr="00D84E5F">
        <w:rPr>
          <w:sz w:val="18"/>
        </w:rPr>
        <w:t xml:space="preserve"> </w:t>
      </w:r>
      <w:proofErr w:type="gramStart"/>
      <w:r w:rsidRPr="00D84E5F">
        <w:rPr>
          <w:sz w:val="18"/>
        </w:rPr>
        <w:t>See also section 1.1.1—3.</w:t>
      </w:r>
      <w:proofErr w:type="gramEnd"/>
    </w:p>
    <w:p w:rsidR="006041BB" w:rsidRPr="00D84E5F" w:rsidRDefault="006041BB" w:rsidP="006041BB">
      <w:pPr>
        <w:pStyle w:val="FSCnatHeading"/>
        <w:rPr>
          <w:sz w:val="18"/>
          <w:szCs w:val="20"/>
        </w:rPr>
      </w:pPr>
      <w:r w:rsidRPr="00D84E5F">
        <w:rPr>
          <w:b/>
          <w:i/>
          <w:sz w:val="18"/>
          <w:szCs w:val="20"/>
        </w:rPr>
        <w:t>Note 2</w:t>
      </w:r>
      <w:r w:rsidRPr="00D84E5F">
        <w:rPr>
          <w:sz w:val="18"/>
          <w:szCs w:val="20"/>
        </w:rPr>
        <w:tab/>
        <w:t xml:space="preserve">The provisions of the Code that apply in New Zealand are incorporated in, or adopted under, the </w:t>
      </w:r>
      <w:r w:rsidRPr="00D84E5F">
        <w:rPr>
          <w:i/>
          <w:sz w:val="18"/>
          <w:szCs w:val="20"/>
        </w:rPr>
        <w:t>Food Act 2014</w:t>
      </w:r>
      <w:r w:rsidRPr="00D84E5F">
        <w:rPr>
          <w:sz w:val="18"/>
          <w:szCs w:val="20"/>
        </w:rPr>
        <w:t xml:space="preserve"> (NZ). </w:t>
      </w:r>
      <w:proofErr w:type="gramStart"/>
      <w:r w:rsidRPr="00D84E5F">
        <w:rPr>
          <w:sz w:val="18"/>
          <w:szCs w:val="20"/>
        </w:rPr>
        <w:t>See also section 1.1.1—3.</w:t>
      </w:r>
      <w:proofErr w:type="gramEnd"/>
    </w:p>
    <w:p w:rsidR="006041BB" w:rsidRPr="00AE57E1" w:rsidRDefault="006041BB" w:rsidP="006041BB">
      <w:pPr>
        <w:pStyle w:val="FSCh5Section"/>
      </w:pPr>
      <w:r w:rsidRPr="00AE57E1">
        <w:t>1.2.12—1</w:t>
      </w:r>
      <w:r w:rsidRPr="00AE57E1">
        <w:tab/>
        <w:t>Name</w:t>
      </w:r>
    </w:p>
    <w:p w:rsidR="006041BB" w:rsidRPr="00D84E5F" w:rsidRDefault="006041BB" w:rsidP="006041BB">
      <w:pPr>
        <w:pStyle w:val="FSCtMain"/>
        <w:rPr>
          <w:iCs w:val="0"/>
        </w:rPr>
      </w:pPr>
      <w:r w:rsidRPr="00D84E5F">
        <w:tab/>
      </w:r>
      <w:r w:rsidRPr="00D84E5F">
        <w:tab/>
        <w:t xml:space="preserve">This Standard is </w:t>
      </w:r>
      <w:r w:rsidRPr="00D84E5F">
        <w:rPr>
          <w:i/>
        </w:rPr>
        <w:t>Australia New Zealand Food Standards Code</w:t>
      </w:r>
      <w:r w:rsidRPr="00D84E5F">
        <w:t xml:space="preserve"> </w:t>
      </w:r>
      <w:r>
        <w:t xml:space="preserve">– </w:t>
      </w:r>
      <w:r w:rsidRPr="00D84E5F">
        <w:t xml:space="preserve">Standard 1.2.12 </w:t>
      </w:r>
      <w:r>
        <w:t xml:space="preserve">– </w:t>
      </w:r>
      <w:r w:rsidRPr="00D84E5F">
        <w:t>Transitional standard for dietary fibre nutrition content claims.</w:t>
      </w:r>
    </w:p>
    <w:p w:rsidR="006041BB" w:rsidRPr="00D84E5F" w:rsidRDefault="006041BB" w:rsidP="006041BB">
      <w:pPr>
        <w:pStyle w:val="FSCnMain"/>
      </w:pPr>
      <w:r>
        <w:rPr>
          <w:b/>
          <w:i/>
        </w:rPr>
        <w:tab/>
      </w:r>
      <w:r w:rsidRPr="00D84E5F">
        <w:rPr>
          <w:b/>
          <w:i/>
        </w:rPr>
        <w:t>Note</w:t>
      </w:r>
      <w:r w:rsidRPr="00D84E5F">
        <w:rPr>
          <w:b/>
          <w:i/>
        </w:rPr>
        <w:tab/>
      </w:r>
      <w:r w:rsidRPr="00D84E5F">
        <w:t>Commencement:</w:t>
      </w:r>
      <w:r w:rsidRPr="00D84E5F">
        <w:rPr>
          <w:i/>
        </w:rPr>
        <w:br/>
      </w:r>
      <w:r w:rsidRPr="00D84E5F">
        <w:t xml:space="preserve">This Standard commences on 1 March 2016, being the date specified as the commencement date in notices in the </w:t>
      </w:r>
      <w:r w:rsidRPr="00D84E5F">
        <w:rPr>
          <w:i/>
        </w:rPr>
        <w:t>Gazette</w:t>
      </w:r>
      <w:r w:rsidRPr="00D84E5F">
        <w:t xml:space="preserve"> and the New Zealand Gazette under section 92 of the </w:t>
      </w:r>
      <w:r w:rsidRPr="00D84E5F">
        <w:rPr>
          <w:i/>
        </w:rPr>
        <w:t>Food Standards Australia New Zealand Act 1991</w:t>
      </w:r>
      <w:r w:rsidRPr="00D84E5F">
        <w:t xml:space="preserve"> (Cth). See also section 93 of that Act.</w:t>
      </w:r>
    </w:p>
    <w:p w:rsidR="006041BB" w:rsidRPr="00AE57E1" w:rsidRDefault="006041BB" w:rsidP="006041BB">
      <w:pPr>
        <w:pStyle w:val="FSCh5Section"/>
      </w:pPr>
      <w:r w:rsidRPr="00AE57E1">
        <w:t>1.2.12—2</w:t>
      </w:r>
      <w:r w:rsidRPr="00AE57E1">
        <w:tab/>
        <w:t>Transitional arrangement</w:t>
      </w:r>
    </w:p>
    <w:p w:rsidR="006041BB" w:rsidRPr="00D84E5F" w:rsidRDefault="006041BB" w:rsidP="006041BB">
      <w:pPr>
        <w:pStyle w:val="FSCtMain"/>
      </w:pPr>
      <w:r>
        <w:rPr>
          <w:b/>
          <w:bCs/>
          <w:kern w:val="32"/>
          <w:sz w:val="24"/>
          <w:szCs w:val="32"/>
        </w:rPr>
        <w:tab/>
      </w:r>
      <w:r w:rsidRPr="00D84E5F">
        <w:t>(1)</w:t>
      </w:r>
      <w:r w:rsidRPr="00D84E5F">
        <w:tab/>
        <w:t>A claim about the presence or absence of dietary fibre in a food must comply with section 1.2.7—12 or section 1.2.12—3, but not a combination of both.</w:t>
      </w:r>
    </w:p>
    <w:p w:rsidR="006041BB" w:rsidRPr="00D84E5F" w:rsidRDefault="006041BB" w:rsidP="006041BB">
      <w:pPr>
        <w:pStyle w:val="FSCtMain"/>
      </w:pPr>
      <w:r>
        <w:tab/>
      </w:r>
      <w:r w:rsidRPr="00D84E5F">
        <w:t>(2)</w:t>
      </w:r>
      <w:r w:rsidRPr="00D84E5F">
        <w:tab/>
        <w:t>To avoid doubt, this Standard only relates to the application of section 1.2.7—12 and does not affect the application of any other provision of Standard 1.2.7.</w:t>
      </w:r>
    </w:p>
    <w:p w:rsidR="006041BB" w:rsidRPr="00D84E5F" w:rsidRDefault="006041BB" w:rsidP="006041BB">
      <w:pPr>
        <w:pStyle w:val="FSCtMain"/>
      </w:pPr>
      <w:r w:rsidRPr="00D84E5F">
        <w:rPr>
          <w:lang w:eastAsia="en-GB"/>
        </w:rPr>
        <w:tab/>
        <w:t>(3)</w:t>
      </w:r>
      <w:r w:rsidRPr="00D84E5F">
        <w:rPr>
          <w:lang w:eastAsia="en-GB"/>
        </w:rPr>
        <w:tab/>
        <w:t>Subsection 1.1.1—9(1) does not apply to this Standard.</w:t>
      </w:r>
    </w:p>
    <w:p w:rsidR="006041BB" w:rsidRPr="00AE57E1" w:rsidRDefault="006041BB" w:rsidP="006041BB">
      <w:pPr>
        <w:pStyle w:val="FSCh5Section"/>
      </w:pPr>
      <w:r w:rsidRPr="00AE57E1">
        <w:t>1.2.12—3</w:t>
      </w:r>
      <w:r w:rsidRPr="00AE57E1">
        <w:tab/>
        <w:t>Transitional requirements for dietary fibre nutrition content claims</w:t>
      </w:r>
    </w:p>
    <w:p w:rsidR="006041BB" w:rsidRPr="00D84E5F" w:rsidRDefault="006041BB" w:rsidP="006041BB">
      <w:pPr>
        <w:pStyle w:val="FSCtMain"/>
        <w:rPr>
          <w:rFonts w:eastAsiaTheme="minorHAnsi"/>
        </w:rPr>
      </w:pPr>
      <w:r w:rsidRPr="00D84E5F">
        <w:rPr>
          <w:b/>
          <w:bCs/>
          <w:kern w:val="32"/>
          <w:szCs w:val="32"/>
        </w:rPr>
        <w:tab/>
      </w:r>
      <w:r w:rsidRPr="00D84E5F">
        <w:rPr>
          <w:rFonts w:eastAsiaTheme="minorHAnsi"/>
        </w:rPr>
        <w:t xml:space="preserve">(1) </w:t>
      </w:r>
      <w:r w:rsidRPr="00D84E5F">
        <w:rPr>
          <w:rFonts w:eastAsiaTheme="minorHAnsi"/>
        </w:rPr>
        <w:tab/>
        <w:t xml:space="preserve">A claim </w:t>
      </w:r>
      <w:r w:rsidRPr="00D84E5F">
        <w:t>about the presence or absence of dietary fibre</w:t>
      </w:r>
      <w:r w:rsidRPr="00D84E5F">
        <w:rPr>
          <w:rFonts w:eastAsiaTheme="minorHAnsi"/>
        </w:rPr>
        <w:t xml:space="preserve"> in a food may use any descriptor that is not mentioned in subsection </w:t>
      </w:r>
      <w:r w:rsidRPr="00D84E5F">
        <w:t>1.2.12—3(2)</w:t>
      </w:r>
      <w:r w:rsidRPr="00D84E5F">
        <w:rPr>
          <w:rFonts w:eastAsiaTheme="minorHAnsi"/>
        </w:rPr>
        <w:t>, including a descriptor expressed as a number or in numeric form.</w:t>
      </w:r>
    </w:p>
    <w:p w:rsidR="006041BB" w:rsidRPr="00D84E5F" w:rsidRDefault="006041BB" w:rsidP="006041BB">
      <w:pPr>
        <w:pStyle w:val="FSCtMain"/>
        <w:rPr>
          <w:rFonts w:eastAsiaTheme="minorHAnsi"/>
        </w:rPr>
      </w:pPr>
      <w:r>
        <w:rPr>
          <w:rFonts w:eastAsiaTheme="minorHAnsi"/>
        </w:rPr>
        <w:tab/>
      </w:r>
      <w:r w:rsidRPr="00D84E5F">
        <w:rPr>
          <w:rFonts w:eastAsiaTheme="minorHAnsi"/>
        </w:rPr>
        <w:t xml:space="preserve">(2) </w:t>
      </w:r>
      <w:r w:rsidRPr="00D84E5F">
        <w:rPr>
          <w:rFonts w:eastAsiaTheme="minorHAnsi"/>
        </w:rPr>
        <w:tab/>
        <w:t xml:space="preserve">If a </w:t>
      </w:r>
      <w:r w:rsidRPr="00D84E5F">
        <w:t xml:space="preserve">claim about the presence of dietary fibre in a food </w:t>
      </w:r>
      <w:r w:rsidRPr="00D84E5F">
        <w:rPr>
          <w:rFonts w:eastAsiaTheme="minorHAnsi"/>
        </w:rPr>
        <w:t xml:space="preserve">uses the descriptor ‘increased’ or a synonym of that descriptor, </w:t>
      </w:r>
      <w:r w:rsidRPr="00D84E5F">
        <w:t xml:space="preserve">that food </w:t>
      </w:r>
      <w:r w:rsidRPr="00D84E5F">
        <w:rPr>
          <w:rFonts w:eastAsiaTheme="minorHAnsi"/>
        </w:rPr>
        <w:t xml:space="preserve">must </w:t>
      </w:r>
      <w:r w:rsidRPr="00D84E5F">
        <w:rPr>
          <w:rFonts w:eastAsiaTheme="minorHAnsi"/>
          <w:bCs/>
        </w:rPr>
        <w:t>contain at least 25% more dietary fibre than in the same quantity of reference food</w:t>
      </w:r>
      <w:r w:rsidRPr="00D84E5F">
        <w:rPr>
          <w:rFonts w:eastAsiaTheme="minorHAnsi"/>
        </w:rPr>
        <w:t>.</w:t>
      </w:r>
    </w:p>
    <w:p w:rsidR="006041BB" w:rsidRPr="00D84E5F" w:rsidRDefault="006041BB" w:rsidP="006041BB">
      <w:pPr>
        <w:pStyle w:val="FSCtMain"/>
        <w:rPr>
          <w:rFonts w:eastAsiaTheme="minorHAnsi"/>
        </w:rPr>
      </w:pPr>
      <w:r>
        <w:rPr>
          <w:rFonts w:eastAsiaTheme="minorHAnsi"/>
        </w:rPr>
        <w:tab/>
      </w:r>
      <w:r w:rsidRPr="00D84E5F">
        <w:rPr>
          <w:rFonts w:eastAsiaTheme="minorHAnsi"/>
        </w:rPr>
        <w:t>(3)</w:t>
      </w:r>
      <w:r w:rsidRPr="00D84E5F">
        <w:rPr>
          <w:rFonts w:eastAsiaTheme="minorHAnsi"/>
        </w:rPr>
        <w:tab/>
        <w:t>In this section</w:t>
      </w:r>
      <w:r>
        <w:rPr>
          <w:lang w:eastAsia="en-GB"/>
        </w:rPr>
        <w:t>:</w:t>
      </w:r>
    </w:p>
    <w:p w:rsidR="006041BB" w:rsidRPr="00D84E5F" w:rsidRDefault="006041BB" w:rsidP="006041BB">
      <w:pPr>
        <w:pStyle w:val="FSCtDefn"/>
        <w:rPr>
          <w:rFonts w:eastAsiaTheme="minorHAnsi"/>
        </w:rPr>
      </w:pPr>
      <w:proofErr w:type="gramStart"/>
      <w:r w:rsidRPr="00D84E5F">
        <w:rPr>
          <w:rFonts w:eastAsiaTheme="minorHAnsi"/>
          <w:b/>
          <w:i/>
        </w:rPr>
        <w:t>food</w:t>
      </w:r>
      <w:proofErr w:type="gramEnd"/>
      <w:r w:rsidRPr="00D84E5F">
        <w:rPr>
          <w:rFonts w:eastAsiaTheme="minorHAnsi"/>
          <w:b/>
          <w:i/>
        </w:rPr>
        <w:t xml:space="preserve"> group</w:t>
      </w:r>
      <w:r w:rsidRPr="00D84E5F">
        <w:rPr>
          <w:rFonts w:eastAsiaTheme="minorHAnsi"/>
          <w:b/>
        </w:rPr>
        <w:t xml:space="preserve"> </w:t>
      </w:r>
      <w:r w:rsidRPr="00D84E5F">
        <w:rPr>
          <w:rFonts w:eastAsiaTheme="minorHAnsi"/>
        </w:rPr>
        <w:t>has the same meaning as in Standard 1.2.7.</w:t>
      </w:r>
    </w:p>
    <w:p w:rsidR="006041BB" w:rsidRPr="00D84E5F" w:rsidRDefault="006041BB" w:rsidP="006041BB">
      <w:pPr>
        <w:pStyle w:val="FSCtDefn"/>
        <w:rPr>
          <w:lang w:eastAsia="en-GB"/>
        </w:rPr>
      </w:pPr>
      <w:proofErr w:type="gramStart"/>
      <w:r w:rsidRPr="00D84E5F">
        <w:rPr>
          <w:rFonts w:eastAsiaTheme="minorHAnsi"/>
          <w:b/>
          <w:i/>
        </w:rPr>
        <w:lastRenderedPageBreak/>
        <w:t>reference</w:t>
      </w:r>
      <w:proofErr w:type="gramEnd"/>
      <w:r w:rsidRPr="00D84E5F">
        <w:rPr>
          <w:rFonts w:eastAsiaTheme="minorHAnsi"/>
          <w:b/>
          <w:i/>
        </w:rPr>
        <w:t xml:space="preserve"> food</w:t>
      </w:r>
      <w:r w:rsidRPr="00D84E5F">
        <w:rPr>
          <w:rFonts w:eastAsiaTheme="minorHAnsi"/>
        </w:rPr>
        <w:t xml:space="preserve"> </w:t>
      </w:r>
      <w:r w:rsidRPr="00D84E5F">
        <w:rPr>
          <w:lang w:eastAsia="en-GB"/>
        </w:rPr>
        <w:t>means a food that is</w:t>
      </w:r>
      <w:r>
        <w:rPr>
          <w:lang w:eastAsia="en-GB"/>
        </w:rPr>
        <w:t>:</w:t>
      </w:r>
    </w:p>
    <w:p w:rsidR="006041BB" w:rsidRPr="00D84E5F" w:rsidRDefault="006041BB" w:rsidP="006041BB">
      <w:pPr>
        <w:pStyle w:val="FSCtPara"/>
      </w:pPr>
      <w:r>
        <w:tab/>
      </w:r>
      <w:r w:rsidRPr="00D84E5F">
        <w:t xml:space="preserve">(a) </w:t>
      </w:r>
      <w:r w:rsidRPr="00D84E5F">
        <w:tab/>
        <w:t>of the same type as the food for which a claim is made and that has not been further processed, formulated, reformulated or modified to increase or decrease the amount of dietary fibre; or</w:t>
      </w:r>
    </w:p>
    <w:p w:rsidR="006041BB" w:rsidRPr="00D84E5F" w:rsidRDefault="006041BB" w:rsidP="006041BB">
      <w:pPr>
        <w:pStyle w:val="FSCtPara"/>
        <w:rPr>
          <w:rFonts w:eastAsiaTheme="minorHAnsi"/>
        </w:rPr>
      </w:pPr>
      <w:r>
        <w:tab/>
      </w:r>
      <w:r w:rsidRPr="00D84E5F">
        <w:t>(b)</w:t>
      </w:r>
      <w:r w:rsidRPr="00D84E5F">
        <w:tab/>
      </w:r>
      <w:proofErr w:type="gramStart"/>
      <w:r w:rsidRPr="00D84E5F">
        <w:t>a</w:t>
      </w:r>
      <w:proofErr w:type="gramEnd"/>
      <w:r w:rsidRPr="00D84E5F">
        <w:t xml:space="preserve"> dietary substitute for the food in the same food group as the food for which a claim is made</w:t>
      </w:r>
      <w:r w:rsidRPr="00D84E5F">
        <w:rPr>
          <w:rFonts w:eastAsiaTheme="minorHAnsi"/>
        </w:rPr>
        <w:t>.</w:t>
      </w:r>
    </w:p>
    <w:p w:rsidR="006041BB" w:rsidRPr="00AE57E1" w:rsidRDefault="006041BB" w:rsidP="006041BB">
      <w:pPr>
        <w:pStyle w:val="FSCh5Section"/>
      </w:pPr>
      <w:r w:rsidRPr="00AE57E1">
        <w:t>1.2.12—4</w:t>
      </w:r>
      <w:r w:rsidRPr="00AE57E1">
        <w:tab/>
        <w:t>Expiry of the transitional arrangement</w:t>
      </w:r>
    </w:p>
    <w:p w:rsidR="006041BB" w:rsidRDefault="006041BB" w:rsidP="006041BB">
      <w:pPr>
        <w:pStyle w:val="FSCtMain"/>
      </w:pPr>
      <w:r w:rsidRPr="00D84E5F">
        <w:tab/>
      </w:r>
      <w:r w:rsidRPr="00D84E5F">
        <w:tab/>
        <w:t>This Standard ceases to have effect on 18 January 2017.”</w:t>
      </w:r>
    </w:p>
    <w:p w:rsidR="006041BB" w:rsidRPr="001D1563" w:rsidRDefault="006041BB" w:rsidP="006041BB">
      <w:pPr>
        <w:pStyle w:val="h5StandardEnd"/>
        <w:rPr>
          <w:lang w:val="en-GB"/>
        </w:rPr>
      </w:pPr>
      <w:r w:rsidRPr="001D1563">
        <w:rPr>
          <w:lang w:val="en-GB"/>
        </w:rPr>
        <w:t>____________________</w:t>
      </w:r>
    </w:p>
    <w:p w:rsidR="006041BB" w:rsidRPr="00D84E5F" w:rsidRDefault="006041BB" w:rsidP="006041BB">
      <w:pPr>
        <w:pStyle w:val="Subclause"/>
        <w:ind w:firstLine="0"/>
        <w:rPr>
          <w:rFonts w:cs="Arial"/>
          <w:szCs w:val="24"/>
        </w:rPr>
      </w:pPr>
    </w:p>
    <w:p w:rsidR="006041BB" w:rsidRDefault="006041BB" w:rsidP="009B0710">
      <w:pPr>
        <w:widowControl/>
        <w:rPr>
          <w:sz w:val="20"/>
        </w:rPr>
      </w:pPr>
      <w:r>
        <w:rPr>
          <w:sz w:val="20"/>
        </w:rPr>
        <w:br w:type="page"/>
      </w:r>
    </w:p>
    <w:p w:rsidR="006041BB" w:rsidRPr="00C0014E" w:rsidRDefault="006041BB" w:rsidP="006041BB">
      <w:pPr>
        <w:rPr>
          <w:noProof/>
          <w:sz w:val="20"/>
          <w:lang w:val="en-AU" w:eastAsia="en-AU"/>
        </w:rPr>
      </w:pPr>
      <w:r w:rsidRPr="00C0014E">
        <w:rPr>
          <w:noProof/>
          <w:sz w:val="20"/>
          <w:lang w:eastAsia="en-GB" w:bidi="ar-SA"/>
        </w:rPr>
        <w:lastRenderedPageBreak/>
        <w:drawing>
          <wp:inline distT="0" distB="0" distL="0" distR="0" wp14:anchorId="555084D7" wp14:editId="0D0501E7">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041BB" w:rsidRPr="00DC07D2" w:rsidRDefault="006041BB" w:rsidP="006041BB">
      <w:pPr>
        <w:rPr>
          <w:sz w:val="20"/>
        </w:rPr>
      </w:pPr>
    </w:p>
    <w:p w:rsidR="006041BB" w:rsidRPr="00D84E5F" w:rsidRDefault="006041BB" w:rsidP="006041BB">
      <w:pPr>
        <w:pBdr>
          <w:bottom w:val="single" w:sz="4" w:space="1" w:color="auto"/>
        </w:pBdr>
        <w:rPr>
          <w:b/>
          <w:sz w:val="20"/>
          <w:szCs w:val="20"/>
        </w:rPr>
      </w:pPr>
      <w:r w:rsidRPr="00D84E5F">
        <w:rPr>
          <w:b/>
          <w:i/>
          <w:sz w:val="20"/>
          <w:szCs w:val="20"/>
        </w:rPr>
        <w:t>Food Standards Australia New Zealand Code</w:t>
      </w:r>
      <w:r w:rsidRPr="00D84E5F">
        <w:rPr>
          <w:b/>
          <w:sz w:val="20"/>
          <w:szCs w:val="20"/>
        </w:rPr>
        <w:t xml:space="preserve"> –</w:t>
      </w:r>
      <w:r w:rsidRPr="00D84E5F">
        <w:rPr>
          <w:b/>
          <w:color w:val="000000"/>
          <w:sz w:val="20"/>
          <w:szCs w:val="20"/>
        </w:rPr>
        <w:t xml:space="preserve"> Revocation and Transitional Variation</w:t>
      </w:r>
      <w:r w:rsidRPr="00D84E5F">
        <w:rPr>
          <w:b/>
          <w:sz w:val="20"/>
          <w:szCs w:val="20"/>
        </w:rPr>
        <w:t xml:space="preserve"> 2015 </w:t>
      </w:r>
      <w:r w:rsidRPr="00D22676">
        <w:rPr>
          <w:b/>
          <w:sz w:val="20"/>
          <w:szCs w:val="20"/>
        </w:rPr>
        <w:t>(</w:t>
      </w:r>
      <w:r w:rsidR="00D22676" w:rsidRPr="00D22676">
        <w:rPr>
          <w:b/>
          <w:i/>
          <w:sz w:val="20"/>
          <w:szCs w:val="20"/>
        </w:rPr>
        <w:t>Application A1101 – Commencement of Dietary Fibre Claim Provisions – Consequential</w:t>
      </w:r>
      <w:r w:rsidRPr="00D22676">
        <w:rPr>
          <w:b/>
          <w:sz w:val="20"/>
          <w:szCs w:val="20"/>
        </w:rPr>
        <w:t>)</w:t>
      </w:r>
    </w:p>
    <w:p w:rsidR="006041BB" w:rsidRPr="00AE57E1" w:rsidRDefault="006041BB" w:rsidP="006041BB">
      <w:pPr>
        <w:pBdr>
          <w:bottom w:val="single" w:sz="4" w:space="1" w:color="auto"/>
        </w:pBdr>
        <w:rPr>
          <w:b/>
          <w:sz w:val="20"/>
          <w:szCs w:val="20"/>
        </w:rPr>
      </w:pPr>
    </w:p>
    <w:p w:rsidR="006041BB" w:rsidRPr="008F2616" w:rsidRDefault="006041BB" w:rsidP="006041BB">
      <w:pPr>
        <w:rPr>
          <w:sz w:val="20"/>
        </w:rPr>
      </w:pPr>
    </w:p>
    <w:p w:rsidR="006041BB" w:rsidRPr="008F2616" w:rsidRDefault="006041BB" w:rsidP="006041BB">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rsidR="006041BB" w:rsidRPr="008F2616" w:rsidRDefault="006041BB" w:rsidP="006041BB">
      <w:pPr>
        <w:rPr>
          <w:sz w:val="20"/>
        </w:rPr>
      </w:pPr>
    </w:p>
    <w:p w:rsidR="006041BB" w:rsidRPr="008F2616" w:rsidRDefault="006041BB" w:rsidP="006041BB">
      <w:pPr>
        <w:rPr>
          <w:sz w:val="20"/>
        </w:rPr>
      </w:pPr>
      <w:r w:rsidRPr="008F2616">
        <w:rPr>
          <w:sz w:val="20"/>
        </w:rPr>
        <w:t xml:space="preserve">Dated </w:t>
      </w:r>
      <w:r>
        <w:rPr>
          <w:sz w:val="20"/>
        </w:rPr>
        <w:t>[To be completed by Standards Management Officer]</w:t>
      </w:r>
    </w:p>
    <w:p w:rsidR="006041BB" w:rsidRPr="008F2616" w:rsidRDefault="006041BB" w:rsidP="006041BB">
      <w:pPr>
        <w:rPr>
          <w:sz w:val="20"/>
        </w:rPr>
      </w:pPr>
    </w:p>
    <w:p w:rsidR="006041BB" w:rsidRDefault="006041BB" w:rsidP="006041BB">
      <w:pPr>
        <w:rPr>
          <w:sz w:val="20"/>
        </w:rPr>
      </w:pPr>
    </w:p>
    <w:p w:rsidR="006041BB" w:rsidRDefault="006041BB" w:rsidP="006041BB">
      <w:pPr>
        <w:rPr>
          <w:sz w:val="20"/>
        </w:rPr>
      </w:pPr>
    </w:p>
    <w:p w:rsidR="006041BB" w:rsidRPr="008F2616" w:rsidRDefault="006041BB" w:rsidP="006041BB">
      <w:pPr>
        <w:rPr>
          <w:sz w:val="20"/>
        </w:rPr>
      </w:pPr>
    </w:p>
    <w:p w:rsidR="006041BB" w:rsidRPr="008F2616" w:rsidRDefault="006041BB" w:rsidP="006041BB">
      <w:pPr>
        <w:rPr>
          <w:sz w:val="20"/>
        </w:rPr>
      </w:pPr>
    </w:p>
    <w:p w:rsidR="006041BB" w:rsidRPr="008F2616" w:rsidRDefault="006041BB" w:rsidP="006041BB">
      <w:pPr>
        <w:rPr>
          <w:sz w:val="20"/>
        </w:rPr>
      </w:pPr>
      <w:r w:rsidRPr="008F2616">
        <w:rPr>
          <w:sz w:val="20"/>
        </w:rPr>
        <w:t>Standards Management Officer</w:t>
      </w:r>
    </w:p>
    <w:p w:rsidR="006041BB" w:rsidRPr="008F2616" w:rsidRDefault="006041BB" w:rsidP="006041BB">
      <w:pPr>
        <w:rPr>
          <w:sz w:val="20"/>
        </w:rPr>
      </w:pPr>
      <w:r w:rsidRPr="008F2616">
        <w:rPr>
          <w:sz w:val="20"/>
        </w:rPr>
        <w:t>Delegate of the Board of Food Standards Australia New Zealand</w:t>
      </w: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Default="006041BB" w:rsidP="006041BB">
      <w:pPr>
        <w:rPr>
          <w:sz w:val="20"/>
        </w:rPr>
      </w:pPr>
    </w:p>
    <w:p w:rsidR="006041BB" w:rsidRPr="00574DE1" w:rsidRDefault="006041BB" w:rsidP="006041BB">
      <w:pPr>
        <w:pStyle w:val="EditorialNoteLine1"/>
        <w:rPr>
          <w:lang w:val="en-AU"/>
        </w:rPr>
      </w:pPr>
      <w:r w:rsidRPr="00574DE1">
        <w:rPr>
          <w:lang w:val="en-AU"/>
        </w:rPr>
        <w:t xml:space="preserve">Note:  </w:t>
      </w:r>
    </w:p>
    <w:p w:rsidR="006041BB" w:rsidRPr="00574DE1" w:rsidRDefault="006041BB" w:rsidP="006041BB">
      <w:pPr>
        <w:pStyle w:val="EditorialNotetext"/>
        <w:rPr>
          <w:lang w:val="en-AU"/>
        </w:rPr>
      </w:pPr>
    </w:p>
    <w:p w:rsidR="006041BB" w:rsidRDefault="006041BB" w:rsidP="006041BB">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p>
    <w:p w:rsidR="006041BB" w:rsidRDefault="006041BB" w:rsidP="006041BB">
      <w:pPr>
        <w:rPr>
          <w:sz w:val="20"/>
        </w:rPr>
      </w:pPr>
    </w:p>
    <w:p w:rsidR="006041BB" w:rsidRDefault="006041BB" w:rsidP="006041BB">
      <w:pPr>
        <w:widowControl/>
      </w:pPr>
    </w:p>
    <w:p w:rsidR="006041BB" w:rsidRDefault="006041BB" w:rsidP="006041BB">
      <w:pPr>
        <w:widowControl/>
        <w:rPr>
          <w:rFonts w:cs="Arial"/>
          <w:i/>
          <w:color w:val="000000"/>
          <w:sz w:val="20"/>
          <w:szCs w:val="20"/>
          <w:lang w:eastAsia="en-AU" w:bidi="ar-SA"/>
        </w:rPr>
      </w:pPr>
      <w:r>
        <w:rPr>
          <w:rFonts w:cs="Arial"/>
          <w:i/>
          <w:color w:val="000000"/>
          <w:sz w:val="20"/>
          <w:szCs w:val="20"/>
        </w:rPr>
        <w:br w:type="page"/>
      </w:r>
    </w:p>
    <w:p w:rsidR="006041BB" w:rsidRPr="00D84E5F" w:rsidRDefault="006041BB" w:rsidP="006041BB">
      <w:pPr>
        <w:pStyle w:val="HR"/>
        <w:spacing w:before="120" w:after="120"/>
        <w:rPr>
          <w:rFonts w:cs="Arial"/>
          <w:sz w:val="20"/>
          <w:szCs w:val="20"/>
        </w:rPr>
      </w:pPr>
      <w:bookmarkStart w:id="81" w:name="_GoBack"/>
      <w:bookmarkEnd w:id="81"/>
      <w:r w:rsidRPr="00D84E5F">
        <w:rPr>
          <w:rFonts w:cs="Arial"/>
          <w:sz w:val="20"/>
          <w:szCs w:val="20"/>
        </w:rPr>
        <w:lastRenderedPageBreak/>
        <w:t>1</w:t>
      </w:r>
      <w:r w:rsidRPr="00D84E5F">
        <w:rPr>
          <w:rFonts w:cs="Arial"/>
          <w:sz w:val="20"/>
          <w:szCs w:val="20"/>
        </w:rPr>
        <w:tab/>
        <w:t>Name of instrument</w:t>
      </w:r>
    </w:p>
    <w:p w:rsidR="006041BB" w:rsidRPr="00D84E5F" w:rsidRDefault="006041BB" w:rsidP="006041BB">
      <w:pPr>
        <w:pStyle w:val="R1"/>
        <w:spacing w:after="120"/>
        <w:rPr>
          <w:rFonts w:ascii="Arial" w:hAnsi="Arial" w:cs="Arial"/>
          <w:sz w:val="20"/>
          <w:szCs w:val="20"/>
        </w:rPr>
      </w:pPr>
      <w:r w:rsidRPr="00D84E5F">
        <w:rPr>
          <w:rFonts w:ascii="Arial" w:hAnsi="Arial" w:cs="Arial"/>
          <w:sz w:val="20"/>
          <w:szCs w:val="20"/>
        </w:rPr>
        <w:tab/>
      </w:r>
      <w:r w:rsidRPr="00D84E5F">
        <w:rPr>
          <w:rFonts w:ascii="Arial" w:hAnsi="Arial" w:cs="Arial"/>
          <w:sz w:val="20"/>
          <w:szCs w:val="20"/>
        </w:rPr>
        <w:tab/>
        <w:t xml:space="preserve">This instrument is the </w:t>
      </w:r>
      <w:r w:rsidRPr="00D84E5F">
        <w:rPr>
          <w:rFonts w:ascii="Arial" w:hAnsi="Arial" w:cs="Arial"/>
          <w:i/>
          <w:sz w:val="20"/>
          <w:szCs w:val="20"/>
        </w:rPr>
        <w:t xml:space="preserve">Food Standards Australia New Zealand Code </w:t>
      </w:r>
      <w:r w:rsidRPr="00D84E5F">
        <w:rPr>
          <w:rFonts w:ascii="Arial" w:hAnsi="Arial" w:cs="Arial"/>
          <w:i/>
          <w:color w:val="000000"/>
          <w:sz w:val="20"/>
          <w:szCs w:val="20"/>
        </w:rPr>
        <w:t xml:space="preserve">— </w:t>
      </w:r>
      <w:r w:rsidRPr="00D84E5F">
        <w:rPr>
          <w:rFonts w:ascii="Arial" w:hAnsi="Arial" w:cs="Arial"/>
          <w:i/>
          <w:color w:val="000000"/>
          <w:sz w:val="20"/>
          <w:szCs w:val="20"/>
          <w:lang w:val="en-GB"/>
        </w:rPr>
        <w:t>Revocation and Transitional Variation</w:t>
      </w:r>
      <w:r w:rsidRPr="00D84E5F">
        <w:rPr>
          <w:rFonts w:ascii="Arial" w:hAnsi="Arial" w:cs="Arial"/>
          <w:i/>
          <w:sz w:val="20"/>
          <w:szCs w:val="20"/>
        </w:rPr>
        <w:t xml:space="preserve"> 2015 (</w:t>
      </w:r>
      <w:r w:rsidR="00D22676" w:rsidRPr="00D22676">
        <w:rPr>
          <w:rFonts w:ascii="Arial" w:hAnsi="Arial" w:cs="Arial"/>
          <w:i/>
          <w:sz w:val="20"/>
          <w:szCs w:val="20"/>
        </w:rPr>
        <w:t>Application A1101 – Commencement of Dietary Fibre Claim Provisions – Consequential</w:t>
      </w:r>
      <w:r w:rsidRPr="00D84E5F">
        <w:rPr>
          <w:rFonts w:ascii="Arial" w:hAnsi="Arial" w:cs="Arial"/>
          <w:i/>
          <w:sz w:val="20"/>
          <w:szCs w:val="20"/>
        </w:rPr>
        <w:t>)</w:t>
      </w:r>
      <w:r w:rsidRPr="00D84E5F">
        <w:rPr>
          <w:rFonts w:ascii="Arial" w:hAnsi="Arial" w:cs="Arial"/>
          <w:sz w:val="20"/>
          <w:szCs w:val="20"/>
        </w:rPr>
        <w:t>.</w:t>
      </w:r>
    </w:p>
    <w:p w:rsidR="006041BB" w:rsidRPr="00D84E5F" w:rsidRDefault="006041BB" w:rsidP="006041BB">
      <w:pPr>
        <w:pStyle w:val="HR"/>
        <w:spacing w:before="120" w:after="120"/>
        <w:rPr>
          <w:rFonts w:cs="Arial"/>
          <w:sz w:val="20"/>
          <w:szCs w:val="20"/>
        </w:rPr>
      </w:pPr>
      <w:r w:rsidRPr="00D84E5F">
        <w:rPr>
          <w:rFonts w:cs="Arial"/>
          <w:sz w:val="20"/>
          <w:szCs w:val="20"/>
        </w:rPr>
        <w:t>2</w:t>
      </w:r>
      <w:r w:rsidRPr="00D84E5F">
        <w:rPr>
          <w:rFonts w:cs="Arial"/>
          <w:sz w:val="20"/>
          <w:szCs w:val="20"/>
        </w:rPr>
        <w:tab/>
        <w:t>Commencement</w:t>
      </w:r>
    </w:p>
    <w:p w:rsidR="006041BB" w:rsidRPr="00D84E5F" w:rsidRDefault="006041BB" w:rsidP="006041BB">
      <w:pPr>
        <w:pStyle w:val="R1"/>
        <w:spacing w:after="120"/>
        <w:rPr>
          <w:rFonts w:ascii="Arial" w:hAnsi="Arial" w:cs="Arial"/>
          <w:sz w:val="20"/>
          <w:szCs w:val="20"/>
        </w:rPr>
      </w:pPr>
      <w:r w:rsidRPr="00D84E5F">
        <w:rPr>
          <w:rFonts w:ascii="Arial" w:hAnsi="Arial" w:cs="Arial"/>
          <w:sz w:val="20"/>
          <w:szCs w:val="20"/>
        </w:rPr>
        <w:tab/>
      </w:r>
      <w:r w:rsidRPr="00D84E5F">
        <w:rPr>
          <w:rFonts w:ascii="Arial" w:hAnsi="Arial" w:cs="Arial"/>
          <w:sz w:val="20"/>
          <w:szCs w:val="20"/>
        </w:rPr>
        <w:tab/>
      </w:r>
      <w:r w:rsidR="005C0511" w:rsidRPr="00EB7989">
        <w:rPr>
          <w:rFonts w:ascii="Arial" w:hAnsi="Arial" w:cs="Arial"/>
          <w:sz w:val="20"/>
          <w:szCs w:val="20"/>
        </w:rPr>
        <w:t>This instrument commences on 1 March 2016 immediately after the commencement of Standard 5.1.1 – Revocation and transitional provisions</w:t>
      </w:r>
      <w:r w:rsidR="00B97AD7" w:rsidRPr="00B97AD7">
        <w:rPr>
          <w:rFonts w:ascii="Arial" w:hAnsi="Arial" w:cs="Arial"/>
          <w:sz w:val="20"/>
          <w:szCs w:val="20"/>
        </w:rPr>
        <w:t xml:space="preserve"> —2014 Revision</w:t>
      </w:r>
      <w:r w:rsidRPr="00D84E5F">
        <w:rPr>
          <w:rFonts w:ascii="Arial" w:hAnsi="Arial" w:cs="Arial"/>
          <w:sz w:val="20"/>
          <w:szCs w:val="20"/>
        </w:rPr>
        <w:t>.</w:t>
      </w:r>
    </w:p>
    <w:p w:rsidR="006041BB" w:rsidRPr="002A14DF" w:rsidRDefault="006041BB" w:rsidP="006041BB">
      <w:pPr>
        <w:pStyle w:val="HR"/>
        <w:spacing w:before="120" w:after="120"/>
        <w:rPr>
          <w:rFonts w:cs="Arial"/>
          <w:sz w:val="26"/>
          <w:szCs w:val="20"/>
        </w:rPr>
      </w:pPr>
      <w:r w:rsidRPr="00D84E5F">
        <w:rPr>
          <w:rFonts w:cs="Arial"/>
          <w:sz w:val="20"/>
          <w:szCs w:val="20"/>
        </w:rPr>
        <w:t>3</w:t>
      </w:r>
      <w:r w:rsidRPr="00D84E5F">
        <w:rPr>
          <w:rFonts w:cs="Arial"/>
          <w:sz w:val="20"/>
          <w:szCs w:val="20"/>
        </w:rPr>
        <w:tab/>
        <w:t>Variation of Standard 1.1.1</w:t>
      </w:r>
    </w:p>
    <w:p w:rsidR="006041BB" w:rsidRPr="00D84E5F" w:rsidRDefault="006041BB" w:rsidP="006041BB">
      <w:pPr>
        <w:pStyle w:val="R1"/>
        <w:spacing w:after="120"/>
        <w:rPr>
          <w:rFonts w:ascii="Arial" w:hAnsi="Arial" w:cs="Arial"/>
          <w:sz w:val="20"/>
          <w:szCs w:val="20"/>
        </w:rPr>
      </w:pPr>
      <w:r w:rsidRPr="00D84E5F">
        <w:rPr>
          <w:rFonts w:ascii="Arial" w:hAnsi="Arial" w:cs="Arial"/>
          <w:sz w:val="20"/>
          <w:szCs w:val="20"/>
        </w:rPr>
        <w:tab/>
      </w:r>
      <w:r w:rsidRPr="00D84E5F">
        <w:rPr>
          <w:rFonts w:ascii="Arial" w:hAnsi="Arial" w:cs="Arial"/>
          <w:sz w:val="20"/>
          <w:szCs w:val="20"/>
        </w:rPr>
        <w:tab/>
        <w:t xml:space="preserve">Schedule 1 varies the </w:t>
      </w:r>
      <w:r w:rsidRPr="00D84E5F">
        <w:rPr>
          <w:rFonts w:ascii="Arial" w:hAnsi="Arial" w:cs="Arial"/>
          <w:i/>
          <w:sz w:val="20"/>
          <w:szCs w:val="20"/>
        </w:rPr>
        <w:t>Australia New Zealand Food Standards Code</w:t>
      </w:r>
      <w:r w:rsidRPr="00D84E5F">
        <w:rPr>
          <w:rFonts w:ascii="Arial" w:hAnsi="Arial" w:cs="Arial"/>
          <w:sz w:val="20"/>
          <w:szCs w:val="20"/>
        </w:rPr>
        <w:t xml:space="preserve"> – Standard 1.1.1 – Structure of the Code and general pr</w:t>
      </w:r>
      <w:r>
        <w:rPr>
          <w:rFonts w:ascii="Arial" w:hAnsi="Arial" w:cs="Arial"/>
          <w:sz w:val="20"/>
          <w:szCs w:val="20"/>
        </w:rPr>
        <w:t>ovisions.</w:t>
      </w:r>
    </w:p>
    <w:p w:rsidR="006041BB" w:rsidRPr="00D84E5F" w:rsidRDefault="006041BB" w:rsidP="006041BB">
      <w:pPr>
        <w:pStyle w:val="HR"/>
        <w:spacing w:before="120" w:after="120"/>
        <w:rPr>
          <w:rFonts w:cs="Arial"/>
          <w:sz w:val="20"/>
          <w:szCs w:val="20"/>
        </w:rPr>
      </w:pPr>
      <w:r>
        <w:rPr>
          <w:rFonts w:cs="Arial"/>
          <w:sz w:val="20"/>
          <w:szCs w:val="20"/>
        </w:rPr>
        <w:t>4</w:t>
      </w:r>
      <w:r w:rsidRPr="00D84E5F">
        <w:rPr>
          <w:rFonts w:cs="Arial"/>
          <w:sz w:val="20"/>
          <w:szCs w:val="20"/>
        </w:rPr>
        <w:tab/>
        <w:t>Variation of Standard 1.2.7</w:t>
      </w:r>
    </w:p>
    <w:p w:rsidR="006041BB" w:rsidRPr="00D84E5F" w:rsidRDefault="006041BB" w:rsidP="006041BB">
      <w:pPr>
        <w:pStyle w:val="R1"/>
        <w:spacing w:after="120"/>
        <w:rPr>
          <w:rFonts w:ascii="Arial" w:hAnsi="Arial" w:cs="Arial"/>
          <w:sz w:val="20"/>
          <w:szCs w:val="20"/>
        </w:rPr>
      </w:pPr>
      <w:r>
        <w:rPr>
          <w:rFonts w:ascii="Arial" w:hAnsi="Arial" w:cs="Arial"/>
          <w:sz w:val="20"/>
          <w:szCs w:val="20"/>
        </w:rPr>
        <w:tab/>
      </w:r>
      <w:r>
        <w:rPr>
          <w:rFonts w:ascii="Arial" w:hAnsi="Arial" w:cs="Arial"/>
          <w:sz w:val="20"/>
          <w:szCs w:val="20"/>
        </w:rPr>
        <w:tab/>
        <w:t>Schedule 2</w:t>
      </w:r>
      <w:r w:rsidRPr="00D84E5F">
        <w:rPr>
          <w:rFonts w:ascii="Arial" w:hAnsi="Arial" w:cs="Arial"/>
          <w:sz w:val="20"/>
          <w:szCs w:val="20"/>
        </w:rPr>
        <w:t xml:space="preserve"> varies the </w:t>
      </w:r>
      <w:r w:rsidRPr="00D84E5F">
        <w:rPr>
          <w:rFonts w:ascii="Arial" w:hAnsi="Arial" w:cs="Arial"/>
          <w:i/>
          <w:sz w:val="20"/>
          <w:szCs w:val="20"/>
        </w:rPr>
        <w:t>Australia New Zealand Food Standards Code</w:t>
      </w:r>
      <w:r w:rsidRPr="00D84E5F">
        <w:rPr>
          <w:rFonts w:ascii="Arial" w:hAnsi="Arial" w:cs="Arial"/>
          <w:sz w:val="20"/>
          <w:szCs w:val="20"/>
        </w:rPr>
        <w:t xml:space="preserve"> – Standard 1.2.7 – Nutrition, health and related claims.</w:t>
      </w:r>
    </w:p>
    <w:p w:rsidR="006041BB" w:rsidRPr="004304B4" w:rsidRDefault="006041BB" w:rsidP="006041BB">
      <w:pPr>
        <w:pStyle w:val="HR"/>
        <w:spacing w:before="120" w:after="120"/>
      </w:pPr>
      <w:r>
        <w:rPr>
          <w:rFonts w:cs="Arial"/>
          <w:sz w:val="20"/>
          <w:szCs w:val="20"/>
        </w:rPr>
        <w:t>5</w:t>
      </w:r>
      <w:r w:rsidRPr="00D84E5F">
        <w:rPr>
          <w:rFonts w:cs="Arial"/>
          <w:sz w:val="20"/>
          <w:szCs w:val="20"/>
        </w:rPr>
        <w:tab/>
        <w:t>Variation of Standard 5.1.1</w:t>
      </w:r>
    </w:p>
    <w:p w:rsidR="006041BB" w:rsidRPr="00D84E5F" w:rsidRDefault="006041BB" w:rsidP="006041BB">
      <w:pPr>
        <w:tabs>
          <w:tab w:val="left" w:pos="993"/>
        </w:tabs>
        <w:spacing w:before="120" w:after="120"/>
        <w:ind w:left="964"/>
        <w:rPr>
          <w:rFonts w:cs="Arial"/>
          <w:i/>
          <w:sz w:val="20"/>
          <w:szCs w:val="20"/>
          <w:lang w:val="en-AU" w:eastAsia="en-AU" w:bidi="ar-SA"/>
        </w:rPr>
      </w:pPr>
      <w:r>
        <w:rPr>
          <w:rFonts w:cs="Arial"/>
          <w:sz w:val="20"/>
          <w:szCs w:val="20"/>
        </w:rPr>
        <w:t>Schedule 3</w:t>
      </w:r>
      <w:r w:rsidRPr="00D84E5F">
        <w:rPr>
          <w:rFonts w:cs="Arial"/>
          <w:sz w:val="20"/>
          <w:szCs w:val="20"/>
        </w:rPr>
        <w:t xml:space="preserve"> varies the </w:t>
      </w:r>
      <w:r w:rsidRPr="00D84E5F">
        <w:rPr>
          <w:rFonts w:cs="Arial"/>
          <w:i/>
          <w:sz w:val="20"/>
          <w:szCs w:val="20"/>
        </w:rPr>
        <w:t>Australia New Zealand Food Standards Code</w:t>
      </w:r>
      <w:r w:rsidRPr="00D84E5F">
        <w:rPr>
          <w:rFonts w:cs="Arial"/>
          <w:sz w:val="20"/>
          <w:szCs w:val="20"/>
        </w:rPr>
        <w:t xml:space="preserve"> – Standard 5.1.1 – Revocation, transitionals etc</w:t>
      </w:r>
      <w:r w:rsidRPr="00D84E5F">
        <w:rPr>
          <w:rFonts w:cs="Arial"/>
          <w:i/>
          <w:sz w:val="20"/>
          <w:szCs w:val="20"/>
        </w:rPr>
        <w:t xml:space="preserve"> </w:t>
      </w:r>
    </w:p>
    <w:p w:rsidR="006041BB" w:rsidRDefault="006041BB" w:rsidP="006041BB">
      <w:pPr>
        <w:pStyle w:val="Scheduletitle"/>
        <w:spacing w:before="120"/>
        <w:rPr>
          <w:rFonts w:cs="Arial"/>
          <w:sz w:val="26"/>
          <w:szCs w:val="20"/>
        </w:rPr>
      </w:pPr>
    </w:p>
    <w:p w:rsidR="006041BB" w:rsidRPr="00D84E5F" w:rsidRDefault="006041BB" w:rsidP="006041BB">
      <w:pPr>
        <w:pStyle w:val="Scheduletitle"/>
        <w:spacing w:before="120"/>
        <w:rPr>
          <w:rFonts w:cs="Arial"/>
          <w:sz w:val="26"/>
          <w:szCs w:val="32"/>
        </w:rPr>
      </w:pPr>
      <w:r w:rsidRPr="00D84E5F">
        <w:rPr>
          <w:rFonts w:cs="Arial"/>
          <w:sz w:val="26"/>
          <w:szCs w:val="20"/>
        </w:rPr>
        <w:t>Schedule 1</w:t>
      </w:r>
      <w:r w:rsidRPr="00D84E5F">
        <w:rPr>
          <w:rFonts w:cs="Arial"/>
          <w:sz w:val="26"/>
          <w:szCs w:val="20"/>
        </w:rPr>
        <w:tab/>
        <w:t>Variation of Standar</w:t>
      </w:r>
      <w:r w:rsidRPr="00D84E5F">
        <w:rPr>
          <w:rFonts w:cs="Arial"/>
          <w:sz w:val="26"/>
          <w:szCs w:val="32"/>
        </w:rPr>
        <w:t>d 1.1.1</w:t>
      </w:r>
    </w:p>
    <w:p w:rsidR="006041BB" w:rsidRDefault="006041BB" w:rsidP="006041BB">
      <w:pPr>
        <w:rPr>
          <w:lang w:val="en-AU" w:eastAsia="en-AU" w:bidi="ar-SA"/>
        </w:rPr>
      </w:pPr>
    </w:p>
    <w:p w:rsidR="006041BB" w:rsidRPr="00D84E5F" w:rsidRDefault="006041BB" w:rsidP="006041BB">
      <w:pPr>
        <w:rPr>
          <w:sz w:val="20"/>
          <w:szCs w:val="20"/>
          <w:lang w:val="en-AU" w:eastAsia="en-AU" w:bidi="ar-SA"/>
        </w:rPr>
      </w:pPr>
      <w:r w:rsidRPr="00D84E5F">
        <w:rPr>
          <w:sz w:val="20"/>
          <w:szCs w:val="20"/>
          <w:lang w:val="en-AU" w:eastAsia="en-AU" w:bidi="ar-SA"/>
        </w:rPr>
        <w:t>[1]</w:t>
      </w:r>
      <w:r w:rsidRPr="00D84E5F">
        <w:rPr>
          <w:sz w:val="20"/>
          <w:szCs w:val="20"/>
          <w:lang w:val="en-AU" w:eastAsia="en-AU" w:bidi="ar-SA"/>
        </w:rPr>
        <w:tab/>
        <w:t>In subsection 1.1.1—2(2), after the entry for “Standard 1.2.11 –</w:t>
      </w:r>
      <w:r>
        <w:rPr>
          <w:sz w:val="20"/>
          <w:szCs w:val="20"/>
          <w:lang w:val="en-AU" w:eastAsia="en-AU" w:bidi="ar-SA"/>
        </w:rPr>
        <w:t xml:space="preserve"> </w:t>
      </w:r>
      <w:r w:rsidRPr="00D84E5F">
        <w:rPr>
          <w:sz w:val="20"/>
          <w:szCs w:val="20"/>
        </w:rPr>
        <w:t>Country of origin labelling requirements”, insert “Standard 1.2.12 – Transitional standard for dietary fibre nutrition content claims</w:t>
      </w:r>
      <w:r w:rsidR="005C0511">
        <w:rPr>
          <w:sz w:val="20"/>
          <w:szCs w:val="20"/>
        </w:rPr>
        <w:t>-2014 Revision</w:t>
      </w:r>
      <w:r w:rsidRPr="00D84E5F">
        <w:rPr>
          <w:sz w:val="20"/>
          <w:szCs w:val="20"/>
        </w:rPr>
        <w:t>”</w:t>
      </w:r>
    </w:p>
    <w:p w:rsidR="006041BB" w:rsidRPr="00D84E5F" w:rsidRDefault="006041BB" w:rsidP="006041BB">
      <w:pPr>
        <w:pStyle w:val="Scheduletitle"/>
        <w:spacing w:before="240"/>
        <w:rPr>
          <w:rFonts w:ascii="Arial Bold" w:hAnsi="Arial Bold" w:cs="Arial"/>
          <w:sz w:val="26"/>
          <w:szCs w:val="32"/>
        </w:rPr>
      </w:pPr>
      <w:r w:rsidRPr="00D84E5F">
        <w:rPr>
          <w:rFonts w:cs="Arial"/>
          <w:sz w:val="26"/>
          <w:szCs w:val="32"/>
        </w:rPr>
        <w:t>Schedule 2</w:t>
      </w:r>
      <w:r w:rsidRPr="00D84E5F">
        <w:rPr>
          <w:rFonts w:cs="Arial"/>
          <w:sz w:val="26"/>
          <w:szCs w:val="32"/>
        </w:rPr>
        <w:tab/>
        <w:t xml:space="preserve">Variation of </w:t>
      </w:r>
      <w:r w:rsidRPr="00D84E5F">
        <w:rPr>
          <w:rFonts w:ascii="Arial Bold" w:hAnsi="Arial Bold" w:cs="Arial"/>
          <w:sz w:val="26"/>
          <w:szCs w:val="32"/>
        </w:rPr>
        <w:t>Standard 1.2.7</w:t>
      </w:r>
    </w:p>
    <w:p w:rsidR="006041BB" w:rsidRPr="00AE57E1" w:rsidRDefault="006041BB" w:rsidP="006041BB">
      <w:pPr>
        <w:rPr>
          <w:rFonts w:cs="Arial"/>
        </w:rPr>
      </w:pPr>
    </w:p>
    <w:p w:rsidR="006041BB" w:rsidRPr="00AE57E1" w:rsidRDefault="006041BB" w:rsidP="006041BB">
      <w:pPr>
        <w:rPr>
          <w:rFonts w:cs="Arial"/>
        </w:rPr>
      </w:pPr>
      <w:r w:rsidRPr="00AE57E1">
        <w:rPr>
          <w:rFonts w:cs="Arial"/>
        </w:rPr>
        <w:t>[1]</w:t>
      </w:r>
      <w:r w:rsidRPr="00AE57E1">
        <w:rPr>
          <w:rFonts w:cs="Arial"/>
        </w:rPr>
        <w:tab/>
        <w:t>After section 1.2.7—</w:t>
      </w:r>
      <w:proofErr w:type="gramStart"/>
      <w:r w:rsidRPr="00AE57E1">
        <w:rPr>
          <w:rFonts w:cs="Arial"/>
        </w:rPr>
        <w:t>12,</w:t>
      </w:r>
      <w:proofErr w:type="gramEnd"/>
      <w:r w:rsidRPr="00AE57E1">
        <w:rPr>
          <w:rFonts w:cs="Arial"/>
        </w:rPr>
        <w:t xml:space="preserve"> insert:</w:t>
      </w:r>
    </w:p>
    <w:p w:rsidR="006041BB" w:rsidRPr="00AE57E1" w:rsidRDefault="006041BB" w:rsidP="006041BB">
      <w:pPr>
        <w:rPr>
          <w:rFonts w:cs="Arial"/>
        </w:rPr>
      </w:pPr>
    </w:p>
    <w:p w:rsidR="006041BB" w:rsidRPr="00D84E5F" w:rsidRDefault="006041BB" w:rsidP="006041BB">
      <w:pPr>
        <w:spacing w:after="240"/>
        <w:ind w:left="1134" w:hanging="1134"/>
        <w:rPr>
          <w:rFonts w:cs="Arial"/>
          <w:sz w:val="16"/>
          <w:szCs w:val="16"/>
        </w:rPr>
      </w:pPr>
      <w:r w:rsidRPr="00D84E5F">
        <w:rPr>
          <w:rFonts w:cs="Arial"/>
          <w:sz w:val="16"/>
          <w:szCs w:val="16"/>
        </w:rPr>
        <w:t>“</w:t>
      </w:r>
      <w:r w:rsidRPr="00D84E5F">
        <w:rPr>
          <w:rFonts w:cs="Arial"/>
          <w:b/>
          <w:i/>
          <w:sz w:val="16"/>
          <w:szCs w:val="16"/>
        </w:rPr>
        <w:t xml:space="preserve">Note </w:t>
      </w:r>
      <w:r w:rsidRPr="00D84E5F">
        <w:rPr>
          <w:rFonts w:cs="Arial"/>
          <w:b/>
          <w:i/>
          <w:sz w:val="16"/>
          <w:szCs w:val="16"/>
        </w:rPr>
        <w:tab/>
      </w:r>
      <w:r w:rsidRPr="00D84E5F">
        <w:rPr>
          <w:rFonts w:cs="Arial"/>
          <w:sz w:val="16"/>
          <w:szCs w:val="16"/>
          <w:lang w:eastAsia="en-GB"/>
        </w:rPr>
        <w:t xml:space="preserve">Standard 1.2.12 </w:t>
      </w:r>
      <w:r w:rsidR="00B44DC6" w:rsidRPr="0022120F">
        <w:rPr>
          <w:rFonts w:cs="Arial"/>
          <w:sz w:val="16"/>
          <w:szCs w:val="16"/>
          <w:lang w:eastAsia="en-GB"/>
        </w:rPr>
        <w:t>is a transitional Standard that applies to claims about the presence or absence of dietary fibre in a food and operates concurrently with Standard 1.2.7</w:t>
      </w:r>
      <w:r w:rsidR="00B44DC6" w:rsidRPr="0022120F">
        <w:rPr>
          <w:sz w:val="16"/>
          <w:szCs w:val="16"/>
        </w:rPr>
        <w:t>.</w:t>
      </w:r>
      <w:r w:rsidR="00B44DC6" w:rsidRPr="0022120F">
        <w:rPr>
          <w:rFonts w:cs="Arial"/>
          <w:sz w:val="16"/>
          <w:szCs w:val="16"/>
          <w:lang w:eastAsia="en-GB"/>
        </w:rPr>
        <w:t xml:space="preserve"> The transitional arrangement permitted by </w:t>
      </w:r>
      <w:r w:rsidR="00B44DC6" w:rsidRPr="00D84E5F">
        <w:rPr>
          <w:rFonts w:cs="Arial"/>
          <w:sz w:val="16"/>
          <w:szCs w:val="16"/>
          <w:lang w:eastAsia="en-GB"/>
        </w:rPr>
        <w:t xml:space="preserve">Standard 1.2.12 </w:t>
      </w:r>
      <w:r w:rsidR="00B44DC6" w:rsidRPr="0022120F">
        <w:rPr>
          <w:rFonts w:cs="Arial"/>
          <w:sz w:val="16"/>
          <w:szCs w:val="16"/>
          <w:lang w:eastAsia="en-GB"/>
        </w:rPr>
        <w:t xml:space="preserve">allows a supplier making a claim about the presence or absence of dietary fibre in a food to either comply with </w:t>
      </w:r>
      <w:r w:rsidR="00B44DC6" w:rsidRPr="00D84E5F">
        <w:rPr>
          <w:rFonts w:cs="Arial"/>
          <w:sz w:val="16"/>
          <w:szCs w:val="16"/>
          <w:lang w:eastAsia="en-GB"/>
        </w:rPr>
        <w:t xml:space="preserve">section </w:t>
      </w:r>
      <w:r w:rsidR="00B44DC6" w:rsidRPr="00D84E5F">
        <w:rPr>
          <w:rFonts w:cs="Arial"/>
          <w:sz w:val="16"/>
          <w:szCs w:val="16"/>
        </w:rPr>
        <w:t xml:space="preserve">1.2.7—12 </w:t>
      </w:r>
      <w:r w:rsidR="00B44DC6" w:rsidRPr="00D84E5F">
        <w:rPr>
          <w:rFonts w:cs="Arial"/>
          <w:sz w:val="16"/>
          <w:szCs w:val="16"/>
          <w:lang w:eastAsia="en-GB"/>
        </w:rPr>
        <w:t xml:space="preserve">or </w:t>
      </w:r>
      <w:r w:rsidR="00B44DC6" w:rsidRPr="00D84E5F">
        <w:rPr>
          <w:rFonts w:cs="Arial"/>
          <w:sz w:val="16"/>
          <w:szCs w:val="16"/>
        </w:rPr>
        <w:t>section 1.2.12—3</w:t>
      </w:r>
      <w:r w:rsidR="00B44DC6" w:rsidRPr="0022120F">
        <w:rPr>
          <w:rFonts w:cs="Arial"/>
          <w:sz w:val="16"/>
          <w:szCs w:val="16"/>
          <w:lang w:eastAsia="en-GB"/>
        </w:rPr>
        <w:t xml:space="preserve">, but not both. This transitional arrangement under </w:t>
      </w:r>
      <w:r w:rsidR="00B44DC6" w:rsidRPr="00D84E5F">
        <w:rPr>
          <w:rFonts w:cs="Arial"/>
          <w:sz w:val="16"/>
          <w:szCs w:val="16"/>
          <w:lang w:eastAsia="en-GB"/>
        </w:rPr>
        <w:t xml:space="preserve">Standard 1.2.12 </w:t>
      </w:r>
      <w:r w:rsidR="00B44DC6" w:rsidRPr="0022120F">
        <w:rPr>
          <w:rFonts w:cs="Arial"/>
          <w:sz w:val="16"/>
          <w:szCs w:val="16"/>
          <w:lang w:eastAsia="en-GB"/>
        </w:rPr>
        <w:t xml:space="preserve">commenced on </w:t>
      </w:r>
      <w:r w:rsidR="00B44DC6" w:rsidRPr="00D84E5F">
        <w:rPr>
          <w:rFonts w:cs="Arial"/>
          <w:sz w:val="16"/>
          <w:szCs w:val="16"/>
          <w:lang w:eastAsia="en-GB"/>
        </w:rPr>
        <w:t xml:space="preserve">1 March 2016 and ceases to have effect on </w:t>
      </w:r>
      <w:r w:rsidR="00B44DC6" w:rsidRPr="00D84E5F">
        <w:rPr>
          <w:rFonts w:cs="Arial"/>
          <w:sz w:val="16"/>
          <w:szCs w:val="16"/>
        </w:rPr>
        <w:t>18 January 2017</w:t>
      </w:r>
      <w:r w:rsidRPr="00D84E5F">
        <w:rPr>
          <w:rFonts w:cs="Arial"/>
          <w:sz w:val="16"/>
          <w:szCs w:val="16"/>
          <w:lang w:val="en-AU"/>
        </w:rPr>
        <w:t>.”</w:t>
      </w:r>
    </w:p>
    <w:p w:rsidR="006041BB" w:rsidRPr="00D84E5F" w:rsidRDefault="006041BB" w:rsidP="006041BB">
      <w:pPr>
        <w:rPr>
          <w:rFonts w:ascii="Arial Bold" w:hAnsi="Arial Bold" w:cs="Arial"/>
          <w:b/>
          <w:sz w:val="26"/>
          <w:szCs w:val="32"/>
        </w:rPr>
      </w:pPr>
      <w:r w:rsidRPr="00D84E5F">
        <w:rPr>
          <w:rFonts w:ascii="Arial Bold" w:hAnsi="Arial Bold" w:cs="Arial"/>
          <w:b/>
          <w:sz w:val="26"/>
          <w:szCs w:val="32"/>
        </w:rPr>
        <w:t xml:space="preserve">Schedule </w:t>
      </w:r>
      <w:r>
        <w:rPr>
          <w:rFonts w:ascii="Arial Bold" w:hAnsi="Arial Bold" w:cs="Arial"/>
          <w:b/>
          <w:sz w:val="26"/>
          <w:szCs w:val="32"/>
        </w:rPr>
        <w:t>3</w:t>
      </w:r>
      <w:r w:rsidRPr="00D84E5F">
        <w:rPr>
          <w:rFonts w:ascii="Arial Bold" w:hAnsi="Arial Bold" w:cs="Arial"/>
          <w:b/>
          <w:sz w:val="26"/>
          <w:szCs w:val="32"/>
        </w:rPr>
        <w:tab/>
      </w:r>
      <w:r w:rsidRPr="00D84E5F">
        <w:rPr>
          <w:rFonts w:ascii="Arial Bold" w:hAnsi="Arial Bold" w:cs="Arial"/>
          <w:b/>
          <w:sz w:val="26"/>
          <w:szCs w:val="32"/>
        </w:rPr>
        <w:tab/>
        <w:t>Variation of Standard 5.1.1</w:t>
      </w:r>
    </w:p>
    <w:p w:rsidR="006041BB" w:rsidRPr="00D84E5F" w:rsidRDefault="006041BB" w:rsidP="006041BB">
      <w:pPr>
        <w:rPr>
          <w:rFonts w:cs="Arial"/>
          <w:b/>
          <w:sz w:val="20"/>
          <w:szCs w:val="20"/>
        </w:rPr>
      </w:pPr>
    </w:p>
    <w:p w:rsidR="006041BB" w:rsidRPr="00D84E5F" w:rsidRDefault="006041BB" w:rsidP="006041BB">
      <w:pPr>
        <w:rPr>
          <w:rFonts w:cs="Arial"/>
          <w:sz w:val="20"/>
          <w:szCs w:val="20"/>
        </w:rPr>
      </w:pPr>
      <w:r w:rsidRPr="00D84E5F">
        <w:rPr>
          <w:rFonts w:cs="Arial"/>
          <w:sz w:val="20"/>
          <w:szCs w:val="20"/>
        </w:rPr>
        <w:t>[1]</w:t>
      </w:r>
      <w:r w:rsidRPr="00D84E5F">
        <w:rPr>
          <w:rFonts w:cs="Arial"/>
          <w:sz w:val="20"/>
          <w:szCs w:val="20"/>
        </w:rPr>
        <w:tab/>
        <w:t>Insert into section 5.1.1—2 in alphabetical order:</w:t>
      </w:r>
    </w:p>
    <w:p w:rsidR="006041BB" w:rsidRPr="00D84E5F" w:rsidRDefault="006041BB" w:rsidP="006041BB">
      <w:pPr>
        <w:rPr>
          <w:rFonts w:cs="Arial"/>
          <w:sz w:val="20"/>
          <w:szCs w:val="20"/>
        </w:rPr>
      </w:pPr>
    </w:p>
    <w:p w:rsidR="006041BB" w:rsidRDefault="006041BB" w:rsidP="006041BB">
      <w:pPr>
        <w:rPr>
          <w:sz w:val="20"/>
        </w:rPr>
      </w:pPr>
      <w:r>
        <w:tab/>
        <w:t>“</w:t>
      </w:r>
      <w:r w:rsidRPr="00D84E5F">
        <w:rPr>
          <w:sz w:val="20"/>
        </w:rPr>
        <w:t>(ca)</w:t>
      </w:r>
      <w:r w:rsidRPr="00D84E5F">
        <w:rPr>
          <w:sz w:val="20"/>
        </w:rPr>
        <w:tab/>
        <w:t>Standard 1.1A.8—Transitional Standard for Dietary Fibre Nutrition Content</w:t>
      </w:r>
      <w:r>
        <w:rPr>
          <w:sz w:val="20"/>
        </w:rPr>
        <w:t xml:space="preserve"> </w:t>
      </w:r>
      <w:r w:rsidRPr="00D84E5F">
        <w:rPr>
          <w:sz w:val="20"/>
        </w:rPr>
        <w:t>Claims</w:t>
      </w:r>
      <w:r>
        <w:rPr>
          <w:sz w:val="20"/>
        </w:rPr>
        <w:t>.”</w:t>
      </w:r>
    </w:p>
    <w:p w:rsidR="006041BB" w:rsidRDefault="006041BB" w:rsidP="006041BB">
      <w:pPr>
        <w:rPr>
          <w:sz w:val="20"/>
        </w:rPr>
      </w:pPr>
    </w:p>
    <w:p w:rsidR="00E1348F" w:rsidRDefault="00E1348F">
      <w:pPr>
        <w:widowControl/>
        <w:rPr>
          <w:noProof/>
          <w:sz w:val="20"/>
          <w:lang w:val="en-AU" w:eastAsia="en-AU"/>
        </w:rPr>
      </w:pPr>
      <w:r>
        <w:rPr>
          <w:noProof/>
          <w:sz w:val="20"/>
          <w:lang w:val="en-AU" w:eastAsia="en-AU"/>
        </w:rPr>
        <w:br w:type="page"/>
      </w:r>
    </w:p>
    <w:p w:rsidR="00E1348F" w:rsidRDefault="00E1348F" w:rsidP="00E1348F">
      <w:pPr>
        <w:pStyle w:val="Heading2"/>
        <w:ind w:left="0" w:firstLine="0"/>
      </w:pPr>
      <w:bookmarkStart w:id="82" w:name="_Toc414615586"/>
      <w:r w:rsidRPr="00932F14">
        <w:lastRenderedPageBreak/>
        <w:t xml:space="preserve">Attachment </w:t>
      </w:r>
      <w:r>
        <w:t>D – Draft Explanatory Statements</w:t>
      </w:r>
      <w:bookmarkEnd w:id="82"/>
    </w:p>
    <w:p w:rsidR="00E1348F" w:rsidRPr="00E1348F" w:rsidRDefault="0052439D" w:rsidP="00E1348F">
      <w:pPr>
        <w:rPr>
          <w:b/>
          <w:sz w:val="28"/>
          <w:szCs w:val="28"/>
          <w:lang w:bidi="ar-SA"/>
        </w:rPr>
      </w:pPr>
      <w:proofErr w:type="gramStart"/>
      <w:r w:rsidRPr="0052439D">
        <w:rPr>
          <w:rFonts w:cs="Arial"/>
          <w:b/>
          <w:i/>
          <w:sz w:val="28"/>
          <w:szCs w:val="28"/>
        </w:rPr>
        <w:t>Australia New Zealand Food Standards Code</w:t>
      </w:r>
      <w:r w:rsidRPr="00B44DC6">
        <w:rPr>
          <w:rFonts w:cs="Arial"/>
          <w:b/>
          <w:color w:val="000000"/>
          <w:sz w:val="28"/>
          <w:szCs w:val="28"/>
        </w:rPr>
        <w:t xml:space="preserve"> </w:t>
      </w:r>
      <w:r>
        <w:rPr>
          <w:rFonts w:cs="Arial"/>
          <w:b/>
          <w:color w:val="000000"/>
          <w:sz w:val="28"/>
          <w:szCs w:val="28"/>
        </w:rPr>
        <w:t>–</w:t>
      </w:r>
      <w:r w:rsidR="00E1348F" w:rsidRPr="00B44DC6">
        <w:rPr>
          <w:rFonts w:cs="Arial"/>
          <w:b/>
          <w:color w:val="000000"/>
          <w:sz w:val="28"/>
          <w:szCs w:val="28"/>
        </w:rPr>
        <w:t xml:space="preserve"> Revocation and Transitional Variation</w:t>
      </w:r>
      <w:r w:rsidR="00E1348F" w:rsidRPr="00B44DC6">
        <w:rPr>
          <w:rFonts w:cs="Arial"/>
          <w:b/>
          <w:sz w:val="28"/>
          <w:szCs w:val="28"/>
        </w:rPr>
        <w:t xml:space="preserve"> 2015 (</w:t>
      </w:r>
      <w:r w:rsidR="00D22676" w:rsidRPr="00D22676">
        <w:rPr>
          <w:rFonts w:cs="Arial"/>
          <w:b/>
          <w:i/>
          <w:sz w:val="28"/>
          <w:szCs w:val="28"/>
        </w:rPr>
        <w:t>Application A1101 – Commencement of Dietary Fibre Claim Provisions</w:t>
      </w:r>
      <w:r w:rsidR="00E1348F" w:rsidRPr="00B44DC6">
        <w:rPr>
          <w:rFonts w:cs="Arial"/>
          <w:b/>
          <w:sz w:val="28"/>
          <w:szCs w:val="28"/>
        </w:rPr>
        <w:t>).</w:t>
      </w:r>
      <w:proofErr w:type="gramEnd"/>
    </w:p>
    <w:p w:rsidR="00E1348F" w:rsidRPr="00B44DC6" w:rsidRDefault="00E1348F" w:rsidP="00E1348F">
      <w:pPr>
        <w:rPr>
          <w:sz w:val="28"/>
          <w:szCs w:val="28"/>
          <w:lang w:bidi="ar-SA"/>
        </w:rPr>
      </w:pPr>
    </w:p>
    <w:p w:rsidR="00E1348F" w:rsidRDefault="00E1348F" w:rsidP="00E1348F">
      <w:pPr>
        <w:rPr>
          <w:b/>
          <w:lang w:val="en-AU" w:eastAsia="en-GB" w:bidi="ar-SA"/>
        </w:rPr>
      </w:pPr>
      <w:r>
        <w:rPr>
          <w:b/>
          <w:lang w:val="en-AU" w:eastAsia="en-GB" w:bidi="ar-SA"/>
        </w:rPr>
        <w:t>1.</w:t>
      </w:r>
      <w:r>
        <w:rPr>
          <w:b/>
          <w:lang w:val="en-AU" w:eastAsia="en-GB" w:bidi="ar-SA"/>
        </w:rPr>
        <w:tab/>
        <w:t>Authority</w:t>
      </w:r>
    </w:p>
    <w:p w:rsidR="00E1348F" w:rsidRDefault="00E1348F" w:rsidP="00E1348F">
      <w:pPr>
        <w:rPr>
          <w:lang w:val="en-AU" w:eastAsia="en-GB"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FSANZ accepted Application A1101 which seeks to delay the requirement to comply with the qualifying criteria for nutrition content claims about dietary fibre in Standard 1.2.7 – Nutrition, Health and Related Claims, for 12 months (that is, until and including 17 January 2017). The Authority considered the Application in accordance with Division 1 of Part 3 and has approved a draft new Transitional Standard</w:t>
      </w:r>
      <w:r w:rsidRPr="00C648FD">
        <w:rPr>
          <w:rFonts w:eastAsia="Calibri" w:cs="Arial"/>
          <w:bCs/>
          <w:szCs w:val="22"/>
          <w:lang w:val="en-AU" w:bidi="ar-SA"/>
        </w:rPr>
        <w:t xml:space="preserve"> </w:t>
      </w:r>
      <w:r w:rsidR="000A28EE">
        <w:rPr>
          <w:rFonts w:eastAsia="Calibri" w:cs="Arial"/>
          <w:bCs/>
          <w:szCs w:val="22"/>
          <w:lang w:val="en-AU" w:bidi="ar-SA"/>
        </w:rPr>
        <w:t>1.2.12</w:t>
      </w:r>
      <w:r>
        <w:rPr>
          <w:rFonts w:eastAsia="Calibri" w:cs="Arial"/>
          <w:bCs/>
          <w:szCs w:val="22"/>
          <w:lang w:val="en-AU" w:bidi="ar-SA"/>
        </w:rPr>
        <w:t xml:space="preserve"> – </w:t>
      </w:r>
      <w:r>
        <w:rPr>
          <w:szCs w:val="22"/>
        </w:rPr>
        <w:t xml:space="preserve">Transitional </w:t>
      </w:r>
      <w:r w:rsidR="000A28EE">
        <w:rPr>
          <w:szCs w:val="22"/>
        </w:rPr>
        <w:t>s</w:t>
      </w:r>
      <w:r>
        <w:rPr>
          <w:szCs w:val="22"/>
        </w:rPr>
        <w:t xml:space="preserve">tandard for </w:t>
      </w:r>
      <w:r w:rsidR="000A28EE">
        <w:rPr>
          <w:szCs w:val="22"/>
        </w:rPr>
        <w:t>d</w:t>
      </w:r>
      <w:r>
        <w:rPr>
          <w:szCs w:val="22"/>
        </w:rPr>
        <w:t xml:space="preserve">ietary </w:t>
      </w:r>
      <w:r w:rsidR="000A28EE">
        <w:rPr>
          <w:szCs w:val="22"/>
        </w:rPr>
        <w:t>f</w:t>
      </w:r>
      <w:r>
        <w:rPr>
          <w:szCs w:val="22"/>
        </w:rPr>
        <w:t xml:space="preserve">ibre </w:t>
      </w:r>
      <w:r w:rsidR="000A28EE">
        <w:rPr>
          <w:szCs w:val="22"/>
        </w:rPr>
        <w:t>n</w:t>
      </w:r>
      <w:r>
        <w:rPr>
          <w:szCs w:val="22"/>
        </w:rPr>
        <w:t xml:space="preserve">utrition </w:t>
      </w:r>
      <w:r w:rsidR="000A28EE">
        <w:rPr>
          <w:szCs w:val="22"/>
        </w:rPr>
        <w:t>c</w:t>
      </w:r>
      <w:r>
        <w:rPr>
          <w:szCs w:val="22"/>
        </w:rPr>
        <w:t xml:space="preserve">ontent </w:t>
      </w:r>
      <w:r w:rsidR="000A28EE">
        <w:rPr>
          <w:szCs w:val="22"/>
        </w:rPr>
        <w:t>c</w:t>
      </w:r>
      <w:r>
        <w:rPr>
          <w:szCs w:val="22"/>
        </w:rPr>
        <w:t>laims</w:t>
      </w:r>
      <w:r>
        <w:rPr>
          <w:rFonts w:eastAsia="Calibri" w:cs="Arial"/>
          <w:bCs/>
          <w:szCs w:val="22"/>
          <w:lang w:val="en-AU" w:bidi="ar-SA"/>
        </w:rPr>
        <w:t xml:space="preserve"> and draft consequential variation</w:t>
      </w:r>
      <w:r w:rsidR="000A28EE">
        <w:rPr>
          <w:rFonts w:eastAsia="Calibri" w:cs="Arial"/>
          <w:bCs/>
          <w:szCs w:val="22"/>
          <w:lang w:val="en-AU" w:bidi="ar-SA"/>
        </w:rPr>
        <w:t>s</w:t>
      </w:r>
      <w:r>
        <w:rPr>
          <w:rFonts w:eastAsia="Calibri" w:cs="Arial"/>
          <w:bCs/>
          <w:szCs w:val="22"/>
          <w:lang w:val="en-AU" w:bidi="ar-SA"/>
        </w:rPr>
        <w:t xml:space="preserve"> to </w:t>
      </w:r>
      <w:r w:rsidR="000A28EE">
        <w:rPr>
          <w:rFonts w:eastAsia="Calibri" w:cs="Arial"/>
          <w:bCs/>
          <w:szCs w:val="22"/>
          <w:lang w:val="en-AU" w:bidi="ar-SA"/>
        </w:rPr>
        <w:t>other Standards</w:t>
      </w:r>
      <w:r>
        <w:rPr>
          <w:rFonts w:eastAsia="Calibri" w:cs="Arial"/>
          <w:bCs/>
          <w:szCs w:val="22"/>
          <w:lang w:val="en-AU" w:bidi="ar-SA"/>
        </w:rPr>
        <w:t xml:space="preserve">. </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rPr>
          <w:b/>
          <w:lang w:val="en-AU" w:eastAsia="en-GB" w:bidi="ar-SA"/>
        </w:rPr>
      </w:pPr>
      <w:r>
        <w:rPr>
          <w:b/>
          <w:lang w:val="en-AU" w:eastAsia="en-GB" w:bidi="ar-SA"/>
        </w:rPr>
        <w:t>2.</w:t>
      </w:r>
      <w:r>
        <w:rPr>
          <w:b/>
          <w:lang w:val="en-AU" w:eastAsia="en-GB" w:bidi="ar-SA"/>
        </w:rPr>
        <w:tab/>
        <w:t xml:space="preserve">Purpose </w:t>
      </w:r>
    </w:p>
    <w:p w:rsidR="00E1348F" w:rsidRDefault="00E1348F" w:rsidP="00E1348F">
      <w:pPr>
        <w:rPr>
          <w:lang w:val="en-AU" w:eastAsia="en-GB" w:bidi="ar-SA"/>
        </w:rPr>
      </w:pPr>
    </w:p>
    <w:p w:rsidR="00E1348F" w:rsidRDefault="00E1348F" w:rsidP="00E1348F">
      <w:pPr>
        <w:rPr>
          <w:szCs w:val="22"/>
          <w:lang w:val="en-AU" w:eastAsia="en-GB" w:bidi="ar-SA"/>
        </w:rPr>
      </w:pPr>
      <w:r>
        <w:rPr>
          <w:szCs w:val="22"/>
          <w:lang w:val="en-AU" w:eastAsia="en-GB" w:bidi="ar-SA"/>
        </w:rPr>
        <w:t xml:space="preserve">The Authority has approved draft new </w:t>
      </w:r>
      <w:r w:rsidR="000A28EE">
        <w:rPr>
          <w:rFonts w:eastAsia="Calibri" w:cs="Arial"/>
          <w:bCs/>
          <w:szCs w:val="22"/>
          <w:lang w:val="en-AU" w:bidi="ar-SA"/>
        </w:rPr>
        <w:t>Standard</w:t>
      </w:r>
      <w:r w:rsidR="000A28EE" w:rsidRPr="00C648FD">
        <w:rPr>
          <w:rFonts w:eastAsia="Calibri" w:cs="Arial"/>
          <w:bCs/>
          <w:szCs w:val="22"/>
          <w:lang w:val="en-AU" w:bidi="ar-SA"/>
        </w:rPr>
        <w:t xml:space="preserve"> </w:t>
      </w:r>
      <w:r w:rsidR="000A28EE">
        <w:rPr>
          <w:rFonts w:eastAsia="Calibri" w:cs="Arial"/>
          <w:bCs/>
          <w:szCs w:val="22"/>
          <w:lang w:val="en-AU" w:bidi="ar-SA"/>
        </w:rPr>
        <w:t xml:space="preserve">1.2.12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w:t>
      </w:r>
      <w:r w:rsidR="00B44DC6" w:rsidRPr="00D84E5F">
        <w:t xml:space="preserve">section 1.2.7—12 </w:t>
      </w:r>
      <w:r w:rsidR="00B44DC6">
        <w:t xml:space="preserve">of Standard 1.2.7 </w:t>
      </w:r>
      <w:r w:rsidR="00B44DC6">
        <w:rPr>
          <w:szCs w:val="22"/>
          <w:lang w:val="en-AU" w:eastAsia="en-GB" w:bidi="ar-SA"/>
        </w:rPr>
        <w:t xml:space="preserve">or </w:t>
      </w:r>
      <w:r w:rsidR="00B44DC6" w:rsidRPr="00D84E5F">
        <w:t>section 1.2.12—3</w:t>
      </w:r>
      <w:r w:rsidR="00B44DC6">
        <w:rPr>
          <w:szCs w:val="22"/>
          <w:lang w:val="en-AU" w:eastAsia="en-GB" w:bidi="ar-SA"/>
        </w:rPr>
        <w:t xml:space="preserve"> of draft Standard </w:t>
      </w:r>
      <w:r w:rsidR="000A28EE">
        <w:rPr>
          <w:rFonts w:eastAsia="Calibri" w:cs="Arial"/>
          <w:bCs/>
          <w:szCs w:val="22"/>
          <w:lang w:val="en-AU" w:bidi="ar-SA"/>
        </w:rPr>
        <w:t>1.2.12</w:t>
      </w:r>
      <w:r>
        <w:rPr>
          <w:szCs w:val="22"/>
          <w:lang w:val="en-AU" w:eastAsia="en-GB" w:bidi="ar-SA"/>
        </w:rPr>
        <w:t>.</w:t>
      </w:r>
    </w:p>
    <w:p w:rsidR="00E1348F" w:rsidRDefault="00E1348F" w:rsidP="00E1348F">
      <w:pPr>
        <w:rPr>
          <w:szCs w:val="22"/>
          <w:lang w:val="en-AU" w:eastAsia="en-GB" w:bidi="ar-SA"/>
        </w:rPr>
      </w:pPr>
    </w:p>
    <w:p w:rsidR="00E1348F" w:rsidRDefault="00E1348F" w:rsidP="00E1348F">
      <w:pPr>
        <w:rPr>
          <w:szCs w:val="22"/>
          <w:lang w:val="en-AU" w:eastAsia="en-GB" w:bidi="ar-SA"/>
        </w:rPr>
      </w:pPr>
      <w:r>
        <w:rPr>
          <w:szCs w:val="22"/>
          <w:lang w:val="en-AU" w:eastAsia="en-GB" w:bidi="ar-SA"/>
        </w:rPr>
        <w:t xml:space="preserve">The transitional period established by draft </w:t>
      </w:r>
      <w:r w:rsidR="000A28EE">
        <w:rPr>
          <w:rFonts w:eastAsia="Calibri" w:cs="Arial"/>
          <w:bCs/>
          <w:szCs w:val="22"/>
          <w:lang w:val="en-AU" w:bidi="ar-SA"/>
        </w:rPr>
        <w:t>Standard</w:t>
      </w:r>
      <w:r w:rsidR="000A28EE" w:rsidRPr="00C648FD">
        <w:rPr>
          <w:rFonts w:eastAsia="Calibri" w:cs="Arial"/>
          <w:bCs/>
          <w:szCs w:val="22"/>
          <w:lang w:val="en-AU" w:bidi="ar-SA"/>
        </w:rPr>
        <w:t xml:space="preserve"> </w:t>
      </w:r>
      <w:r w:rsidR="000A28EE">
        <w:rPr>
          <w:rFonts w:eastAsia="Calibri" w:cs="Arial"/>
          <w:bCs/>
          <w:szCs w:val="22"/>
          <w:lang w:val="en-AU" w:bidi="ar-SA"/>
        </w:rPr>
        <w:t xml:space="preserve">1.2.12 </w:t>
      </w:r>
      <w:r>
        <w:rPr>
          <w:szCs w:val="22"/>
          <w:lang w:val="en-AU" w:eastAsia="en-GB" w:bidi="ar-SA"/>
        </w:rPr>
        <w:t xml:space="preserve">will commence on 1 March 2016, </w:t>
      </w:r>
      <w:r w:rsidR="000A28EE">
        <w:rPr>
          <w:szCs w:val="22"/>
          <w:lang w:val="en-AU" w:eastAsia="en-GB" w:bidi="ar-SA"/>
        </w:rPr>
        <w:t>and cease</w:t>
      </w:r>
      <w:r>
        <w:rPr>
          <w:szCs w:val="22"/>
          <w:lang w:val="en-AU" w:eastAsia="en-GB" w:bidi="ar-SA"/>
        </w:rPr>
        <w:t xml:space="preserve"> </w:t>
      </w:r>
      <w:r w:rsidR="000A28EE">
        <w:rPr>
          <w:szCs w:val="22"/>
          <w:lang w:val="en-AU" w:eastAsia="en-GB" w:bidi="ar-SA"/>
        </w:rPr>
        <w:t>on 18 January 2017</w:t>
      </w:r>
      <w:r>
        <w:rPr>
          <w:szCs w:val="22"/>
          <w:lang w:val="en-AU" w:eastAsia="en-GB" w:bidi="ar-SA"/>
        </w:rPr>
        <w:t>.</w:t>
      </w:r>
    </w:p>
    <w:p w:rsidR="00E1348F" w:rsidRDefault="00E1348F" w:rsidP="00E1348F">
      <w:pPr>
        <w:rPr>
          <w:szCs w:val="22"/>
          <w:lang w:val="en-AU" w:eastAsia="en-GB" w:bidi="ar-SA"/>
        </w:rPr>
      </w:pPr>
    </w:p>
    <w:p w:rsidR="00E1348F" w:rsidRDefault="00E1348F" w:rsidP="00E1348F">
      <w:pPr>
        <w:rPr>
          <w:b/>
          <w:lang w:val="en-AU" w:eastAsia="en-GB" w:bidi="ar-SA"/>
        </w:rPr>
      </w:pPr>
      <w:r>
        <w:rPr>
          <w:b/>
          <w:lang w:val="en-AU" w:eastAsia="en-GB" w:bidi="ar-SA"/>
        </w:rPr>
        <w:t>3.</w:t>
      </w:r>
      <w:r>
        <w:rPr>
          <w:b/>
          <w:lang w:val="en-AU" w:eastAsia="en-GB" w:bidi="ar-SA"/>
        </w:rPr>
        <w:tab/>
        <w:t>Documents incorporated by reference</w:t>
      </w:r>
    </w:p>
    <w:p w:rsidR="00E1348F" w:rsidRDefault="00E1348F" w:rsidP="00E1348F">
      <w:pPr>
        <w:rPr>
          <w:lang w:val="en-AU" w:eastAsia="en-GB"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Draft Standard </w:t>
      </w:r>
      <w:r w:rsidR="000A28EE">
        <w:rPr>
          <w:rFonts w:eastAsia="Calibri" w:cs="Arial"/>
          <w:bCs/>
          <w:szCs w:val="22"/>
          <w:lang w:val="en-AU" w:bidi="ar-SA"/>
        </w:rPr>
        <w:t xml:space="preserve">1.2.12 </w:t>
      </w:r>
      <w:r>
        <w:rPr>
          <w:rFonts w:eastAsia="Calibri" w:cs="Arial"/>
          <w:bCs/>
          <w:szCs w:val="22"/>
          <w:lang w:val="en-AU" w:bidi="ar-SA"/>
        </w:rPr>
        <w:t>does not incorporate any documents by reference.</w:t>
      </w:r>
    </w:p>
    <w:p w:rsidR="00E1348F" w:rsidRDefault="00E1348F" w:rsidP="00E1348F">
      <w:pPr>
        <w:rPr>
          <w:lang w:val="en-AU" w:eastAsia="en-GB" w:bidi="ar-SA"/>
        </w:rPr>
      </w:pPr>
    </w:p>
    <w:p w:rsidR="00E1348F" w:rsidRDefault="00E1348F" w:rsidP="00E1348F">
      <w:pPr>
        <w:rPr>
          <w:b/>
          <w:lang w:val="en-AU" w:eastAsia="en-GB" w:bidi="ar-SA"/>
        </w:rPr>
      </w:pPr>
      <w:r>
        <w:rPr>
          <w:b/>
          <w:lang w:val="en-AU" w:eastAsia="en-GB" w:bidi="ar-SA"/>
        </w:rPr>
        <w:t>4.</w:t>
      </w:r>
      <w:r>
        <w:rPr>
          <w:b/>
          <w:lang w:val="en-AU" w:eastAsia="en-GB" w:bidi="ar-SA"/>
        </w:rPr>
        <w:tab/>
        <w:t>Consultation</w:t>
      </w:r>
    </w:p>
    <w:p w:rsidR="00E1348F" w:rsidRDefault="00E1348F" w:rsidP="00E1348F">
      <w:pPr>
        <w:rPr>
          <w:lang w:val="en-AU" w:eastAsia="en-GB" w:bidi="ar-SA"/>
        </w:rPr>
      </w:pPr>
    </w:p>
    <w:p w:rsidR="00E1348F" w:rsidRPr="00962553" w:rsidRDefault="00E1348F" w:rsidP="00E1348F">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Application A1101 will include one round of public consultation following an assessment and the preparation of a draft new Standard, a draft consequential variation and associated report.</w:t>
      </w:r>
    </w:p>
    <w:p w:rsidR="00E1348F" w:rsidRPr="00962553" w:rsidRDefault="00E1348F" w:rsidP="00E1348F">
      <w:pPr>
        <w:rPr>
          <w:rFonts w:eastAsia="Calibri"/>
          <w:lang w:val="en-AU" w:bidi="ar-SA"/>
        </w:rPr>
      </w:pPr>
    </w:p>
    <w:p w:rsidR="00E1348F" w:rsidRDefault="00E1348F" w:rsidP="00E1348F">
      <w:pPr>
        <w:widowControl/>
        <w:autoSpaceDE w:val="0"/>
        <w:autoSpaceDN w:val="0"/>
        <w:adjustRightInd w:val="0"/>
      </w:pPr>
      <w:r>
        <w:rPr>
          <w:rFonts w:eastAsia="Calibri" w:cs="Arial"/>
          <w:bCs/>
          <w:szCs w:val="22"/>
          <w:lang w:val="en-AU" w:bidi="ar-SA"/>
        </w:rPr>
        <w:t xml:space="preserve">A Regulation Impact Statement was not required because </w:t>
      </w:r>
      <w:r w:rsidR="00B44DC6">
        <w:rPr>
          <w:rFonts w:eastAsia="Calibri" w:cs="Arial"/>
          <w:bCs/>
          <w:szCs w:val="22"/>
          <w:lang w:val="en-AU" w:bidi="ar-SA"/>
        </w:rPr>
        <w:t xml:space="preserve">the </w:t>
      </w:r>
      <w:r>
        <w:rPr>
          <w:rFonts w:eastAsia="Calibri" w:cs="Arial"/>
          <w:bCs/>
          <w:szCs w:val="22"/>
          <w:lang w:val="en-AU" w:bidi="ar-SA"/>
        </w:rPr>
        <w:t>draft variation to the Code</w:t>
      </w:r>
      <w:r w:rsidDel="003A1C0B">
        <w:rPr>
          <w:rFonts w:eastAsia="Calibri" w:cs="Arial"/>
          <w:bCs/>
          <w:szCs w:val="22"/>
          <w:lang w:val="en-AU" w:bidi="ar-SA"/>
        </w:rPr>
        <w:t xml:space="preserve"> </w:t>
      </w:r>
      <w:r>
        <w:rPr>
          <w:rFonts w:eastAsia="Calibri" w:cs="Arial"/>
          <w:bCs/>
          <w:szCs w:val="22"/>
          <w:lang w:val="en-AU" w:bidi="ar-SA"/>
        </w:rPr>
        <w:t>is</w:t>
      </w:r>
      <w:r>
        <w:t xml:space="preserve"> likely to have only a minor impact on business and individuals (OBPR ID: 17599).</w:t>
      </w:r>
    </w:p>
    <w:p w:rsidR="00E1348F" w:rsidRDefault="00E1348F" w:rsidP="00E1348F">
      <w:pPr>
        <w:widowControl/>
        <w:rPr>
          <w:rFonts w:eastAsiaTheme="minorHAnsi" w:cs="Arial"/>
          <w:b/>
          <w:bCs/>
          <w:szCs w:val="22"/>
          <w:lang w:val="en-AU" w:bidi="ar-SA"/>
        </w:rPr>
      </w:pPr>
    </w:p>
    <w:p w:rsidR="00E1348F" w:rsidRDefault="00E1348F" w:rsidP="00E1348F">
      <w:pPr>
        <w:widowControl/>
        <w:rPr>
          <w:rFonts w:eastAsiaTheme="minorHAnsi" w:cs="Arial"/>
          <w:b/>
          <w:bCs/>
          <w:szCs w:val="22"/>
          <w:lang w:val="en-AU" w:bidi="ar-SA"/>
        </w:rPr>
      </w:pPr>
      <w:r>
        <w:rPr>
          <w:rFonts w:eastAsiaTheme="minorHAnsi" w:cs="Arial"/>
          <w:b/>
          <w:bCs/>
          <w:szCs w:val="22"/>
          <w:lang w:val="en-AU" w:bidi="ar-SA"/>
        </w:rPr>
        <w:br w:type="page"/>
      </w:r>
    </w:p>
    <w:p w:rsidR="00E1348F" w:rsidRDefault="00E1348F" w:rsidP="00E1348F">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rsidR="00E1348F" w:rsidRDefault="00E1348F" w:rsidP="00E1348F">
      <w:pPr>
        <w:rPr>
          <w:rFonts w:eastAsiaTheme="minorHAnsi"/>
          <w:lang w:val="en-AU" w:bidi="ar-SA"/>
        </w:rPr>
      </w:pPr>
    </w:p>
    <w:p w:rsidR="00E1348F" w:rsidRDefault="00E1348F" w:rsidP="00E1348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E1348F" w:rsidRDefault="00E1348F" w:rsidP="00E1348F">
      <w:pPr>
        <w:rPr>
          <w:rFonts w:eastAsiaTheme="minorHAnsi"/>
          <w:lang w:val="en-AU" w:bidi="ar-SA"/>
        </w:rPr>
      </w:pPr>
    </w:p>
    <w:p w:rsidR="00E1348F" w:rsidRDefault="00E1348F" w:rsidP="00E1348F">
      <w:pPr>
        <w:rPr>
          <w:b/>
          <w:lang w:val="en-AU" w:eastAsia="en-GB" w:bidi="ar-SA"/>
        </w:rPr>
      </w:pPr>
      <w:r>
        <w:rPr>
          <w:b/>
        </w:rPr>
        <w:t>6.</w:t>
      </w:r>
      <w:r>
        <w:rPr>
          <w:b/>
        </w:rPr>
        <w:tab/>
      </w:r>
      <w:r>
        <w:rPr>
          <w:b/>
          <w:lang w:val="en-AU" w:eastAsia="en-GB" w:bidi="ar-SA"/>
        </w:rPr>
        <w:t>Variation</w:t>
      </w:r>
    </w:p>
    <w:p w:rsidR="00E1348F" w:rsidRDefault="00E1348F" w:rsidP="00E1348F">
      <w:pPr>
        <w:rPr>
          <w:bCs/>
          <w:szCs w:val="22"/>
        </w:rPr>
      </w:pPr>
    </w:p>
    <w:p w:rsidR="000A28EE" w:rsidRDefault="000A28EE" w:rsidP="00E1348F">
      <w:pPr>
        <w:rPr>
          <w:bCs/>
          <w:szCs w:val="22"/>
        </w:rPr>
      </w:pPr>
      <w:r>
        <w:rPr>
          <w:bCs/>
          <w:szCs w:val="22"/>
        </w:rPr>
        <w:t>Section</w:t>
      </w:r>
      <w:r w:rsidR="00E1348F">
        <w:rPr>
          <w:bCs/>
          <w:szCs w:val="22"/>
        </w:rPr>
        <w:t xml:space="preserve"> 1</w:t>
      </w:r>
      <w:r>
        <w:rPr>
          <w:bCs/>
          <w:szCs w:val="22"/>
        </w:rPr>
        <w:t>.2.12</w:t>
      </w:r>
      <w:r w:rsidRPr="00AE57E1">
        <w:rPr>
          <w:rFonts w:cs="Arial"/>
        </w:rPr>
        <w:t>—</w:t>
      </w:r>
      <w:r>
        <w:rPr>
          <w:bCs/>
          <w:szCs w:val="22"/>
        </w:rPr>
        <w:t>1</w:t>
      </w:r>
      <w:r w:rsidR="00E1348F">
        <w:rPr>
          <w:bCs/>
          <w:szCs w:val="22"/>
        </w:rPr>
        <w:t xml:space="preserve"> </w:t>
      </w:r>
      <w:r>
        <w:rPr>
          <w:bCs/>
          <w:szCs w:val="22"/>
        </w:rPr>
        <w:t xml:space="preserve">provides the name of the Standard is the </w:t>
      </w:r>
      <w:r w:rsidRPr="00D84E5F">
        <w:rPr>
          <w:i/>
        </w:rPr>
        <w:t>Australia New Zealand Food Standards Code</w:t>
      </w:r>
      <w:r w:rsidRPr="00D84E5F">
        <w:t xml:space="preserve"> </w:t>
      </w:r>
      <w:r>
        <w:t xml:space="preserve">– </w:t>
      </w:r>
      <w:r w:rsidRPr="00D84E5F">
        <w:t xml:space="preserve">Standard 1.2.12 </w:t>
      </w:r>
      <w:r>
        <w:t xml:space="preserve">– </w:t>
      </w:r>
      <w:r w:rsidRPr="00D84E5F">
        <w:t>Transitional standard for dietary fibre nutrition content claims</w:t>
      </w:r>
      <w:r w:rsidR="00D22676">
        <w:t>.</w:t>
      </w:r>
    </w:p>
    <w:p w:rsidR="000A28EE" w:rsidRDefault="000A28EE" w:rsidP="00E1348F">
      <w:pPr>
        <w:rPr>
          <w:bCs/>
          <w:szCs w:val="22"/>
        </w:rPr>
      </w:pPr>
    </w:p>
    <w:p w:rsidR="00E1348F" w:rsidRDefault="000A28EE" w:rsidP="00E1348F">
      <w:pPr>
        <w:rPr>
          <w:bCs/>
          <w:szCs w:val="22"/>
        </w:rPr>
      </w:pPr>
      <w:r>
        <w:rPr>
          <w:bCs/>
          <w:szCs w:val="22"/>
        </w:rPr>
        <w:t>Section</w:t>
      </w:r>
      <w:r w:rsidR="00326A75">
        <w:rPr>
          <w:bCs/>
          <w:szCs w:val="22"/>
        </w:rPr>
        <w:t>s</w:t>
      </w:r>
      <w:r>
        <w:rPr>
          <w:bCs/>
          <w:szCs w:val="22"/>
        </w:rPr>
        <w:t xml:space="preserve"> 1.2.12</w:t>
      </w:r>
      <w:r w:rsidRPr="00AE57E1">
        <w:rPr>
          <w:rFonts w:cs="Arial"/>
        </w:rPr>
        <w:t>—</w:t>
      </w:r>
      <w:r>
        <w:rPr>
          <w:bCs/>
          <w:szCs w:val="22"/>
        </w:rPr>
        <w:t xml:space="preserve">2 </w:t>
      </w:r>
      <w:r w:rsidR="0060624D">
        <w:rPr>
          <w:bCs/>
          <w:szCs w:val="22"/>
        </w:rPr>
        <w:t xml:space="preserve">to </w:t>
      </w:r>
      <w:r w:rsidR="00326A75">
        <w:rPr>
          <w:bCs/>
          <w:szCs w:val="22"/>
        </w:rPr>
        <w:t>1.2.12</w:t>
      </w:r>
      <w:r w:rsidR="00326A75" w:rsidRPr="00AE57E1">
        <w:rPr>
          <w:rFonts w:cs="Arial"/>
        </w:rPr>
        <w:t>—</w:t>
      </w:r>
      <w:r w:rsidR="00326A75">
        <w:rPr>
          <w:bCs/>
          <w:szCs w:val="22"/>
        </w:rPr>
        <w:t xml:space="preserve">4 </w:t>
      </w:r>
      <w:r w:rsidR="00E1348F">
        <w:rPr>
          <w:bCs/>
          <w:szCs w:val="22"/>
        </w:rPr>
        <w:t xml:space="preserve">establish a transitional arrangement for </w:t>
      </w:r>
      <w:r w:rsidR="00E1348F">
        <w:rPr>
          <w:szCs w:val="22"/>
        </w:rPr>
        <w:t>claims about the presence or absence of dietary fibre in a food</w:t>
      </w:r>
      <w:r w:rsidR="00E1348F">
        <w:rPr>
          <w:bCs/>
          <w:szCs w:val="22"/>
        </w:rPr>
        <w:t xml:space="preserve">.  </w:t>
      </w:r>
    </w:p>
    <w:p w:rsidR="00E1348F" w:rsidRDefault="00E1348F" w:rsidP="00E1348F">
      <w:pPr>
        <w:rPr>
          <w:bCs/>
          <w:szCs w:val="22"/>
        </w:rPr>
      </w:pPr>
    </w:p>
    <w:p w:rsidR="00E1348F" w:rsidRDefault="00E1348F" w:rsidP="00E1348F">
      <w:pPr>
        <w:rPr>
          <w:bCs/>
          <w:szCs w:val="22"/>
        </w:rPr>
      </w:pPr>
      <w:r>
        <w:rPr>
          <w:bCs/>
          <w:szCs w:val="22"/>
        </w:rPr>
        <w:t>Sub</w:t>
      </w:r>
      <w:r w:rsidR="000A28EE">
        <w:rPr>
          <w:bCs/>
          <w:szCs w:val="22"/>
        </w:rPr>
        <w:t>section</w:t>
      </w:r>
      <w:r>
        <w:rPr>
          <w:bCs/>
          <w:szCs w:val="22"/>
        </w:rPr>
        <w:t xml:space="preserve"> </w:t>
      </w:r>
      <w:r w:rsidR="000A28EE">
        <w:rPr>
          <w:bCs/>
          <w:szCs w:val="22"/>
        </w:rPr>
        <w:t>1.2.12</w:t>
      </w:r>
      <w:r w:rsidR="000A28EE" w:rsidRPr="00AE57E1">
        <w:rPr>
          <w:rFonts w:cs="Arial"/>
        </w:rPr>
        <w:t>—</w:t>
      </w:r>
      <w:r w:rsidR="000A28EE">
        <w:rPr>
          <w:bCs/>
          <w:szCs w:val="22"/>
        </w:rPr>
        <w:t>2</w:t>
      </w:r>
      <w:r>
        <w:rPr>
          <w:bCs/>
          <w:szCs w:val="22"/>
        </w:rPr>
        <w:t>(1) permits a</w:t>
      </w:r>
      <w:r>
        <w:rPr>
          <w:szCs w:val="22"/>
        </w:rPr>
        <w:t xml:space="preserve"> claim about the presence or absence of dietary fibre in a food to be made in accordance with either </w:t>
      </w:r>
      <w:r w:rsidR="000A28EE">
        <w:rPr>
          <w:szCs w:val="22"/>
        </w:rPr>
        <w:t>section 1.2.7</w:t>
      </w:r>
      <w:r w:rsidR="000A28EE" w:rsidRPr="00AE57E1">
        <w:rPr>
          <w:rFonts w:cs="Arial"/>
        </w:rPr>
        <w:t>—</w:t>
      </w:r>
      <w:r w:rsidR="000A28EE">
        <w:rPr>
          <w:bCs/>
          <w:szCs w:val="22"/>
        </w:rPr>
        <w:t>1</w:t>
      </w:r>
      <w:r w:rsidR="00B44DC6">
        <w:rPr>
          <w:bCs/>
          <w:szCs w:val="22"/>
        </w:rPr>
        <w:t>2</w:t>
      </w:r>
      <w:r w:rsidR="000A28EE">
        <w:rPr>
          <w:bCs/>
          <w:szCs w:val="22"/>
        </w:rPr>
        <w:t xml:space="preserve"> </w:t>
      </w:r>
      <w:r>
        <w:rPr>
          <w:szCs w:val="22"/>
        </w:rPr>
        <w:t xml:space="preserve">or </w:t>
      </w:r>
      <w:r w:rsidR="000A28EE">
        <w:rPr>
          <w:bCs/>
          <w:szCs w:val="22"/>
        </w:rPr>
        <w:t>section 1.2.12</w:t>
      </w:r>
      <w:r w:rsidR="000A28EE" w:rsidRPr="00AE57E1">
        <w:rPr>
          <w:rFonts w:cs="Arial"/>
        </w:rPr>
        <w:t>—</w:t>
      </w:r>
      <w:r w:rsidR="000A28EE">
        <w:rPr>
          <w:bCs/>
          <w:szCs w:val="22"/>
        </w:rPr>
        <w:t>3</w:t>
      </w:r>
      <w:r>
        <w:rPr>
          <w:szCs w:val="22"/>
        </w:rPr>
        <w:t>, but not a combination of both</w:t>
      </w:r>
      <w:r>
        <w:rPr>
          <w:bCs/>
          <w:szCs w:val="22"/>
        </w:rPr>
        <w:t xml:space="preserve">.  </w:t>
      </w:r>
    </w:p>
    <w:p w:rsidR="00E1348F" w:rsidRDefault="00E1348F" w:rsidP="00E1348F">
      <w:pPr>
        <w:rPr>
          <w:bCs/>
          <w:szCs w:val="22"/>
        </w:rPr>
      </w:pPr>
    </w:p>
    <w:p w:rsidR="00E1348F" w:rsidRDefault="00E1348F" w:rsidP="00E1348F">
      <w:pPr>
        <w:rPr>
          <w:szCs w:val="22"/>
        </w:rPr>
      </w:pPr>
      <w:r>
        <w:rPr>
          <w:bCs/>
          <w:szCs w:val="22"/>
        </w:rPr>
        <w:t>Sub</w:t>
      </w:r>
      <w:r w:rsidR="000A28EE">
        <w:rPr>
          <w:bCs/>
          <w:szCs w:val="22"/>
        </w:rPr>
        <w:t>section</w:t>
      </w:r>
      <w:r>
        <w:rPr>
          <w:bCs/>
          <w:szCs w:val="22"/>
        </w:rPr>
        <w:t xml:space="preserve"> </w:t>
      </w:r>
      <w:r w:rsidR="000A28EE">
        <w:rPr>
          <w:bCs/>
          <w:szCs w:val="22"/>
        </w:rPr>
        <w:t>1.2.12</w:t>
      </w:r>
      <w:r w:rsidR="000A28EE" w:rsidRPr="00AE57E1">
        <w:rPr>
          <w:rFonts w:cs="Arial"/>
        </w:rPr>
        <w:t>—</w:t>
      </w:r>
      <w:r w:rsidR="000A28EE">
        <w:rPr>
          <w:bCs/>
          <w:szCs w:val="22"/>
        </w:rPr>
        <w:t>2</w:t>
      </w:r>
      <w:r>
        <w:rPr>
          <w:bCs/>
          <w:szCs w:val="22"/>
        </w:rPr>
        <w:t xml:space="preserve">(2) explains that </w:t>
      </w:r>
      <w:r>
        <w:rPr>
          <w:szCs w:val="22"/>
        </w:rPr>
        <w:t xml:space="preserve">Standard </w:t>
      </w:r>
      <w:r w:rsidR="000A28EE">
        <w:rPr>
          <w:szCs w:val="22"/>
        </w:rPr>
        <w:t>1.2.12</w:t>
      </w:r>
      <w:r>
        <w:rPr>
          <w:szCs w:val="22"/>
        </w:rPr>
        <w:t xml:space="preserve"> only relates to </w:t>
      </w:r>
      <w:r w:rsidR="000A28EE">
        <w:rPr>
          <w:szCs w:val="22"/>
        </w:rPr>
        <w:t>section 1.2.7</w:t>
      </w:r>
      <w:r w:rsidR="000A28EE" w:rsidRPr="00AE57E1">
        <w:rPr>
          <w:rFonts w:cs="Arial"/>
        </w:rPr>
        <w:t>—</w:t>
      </w:r>
      <w:r w:rsidR="000A28EE">
        <w:rPr>
          <w:bCs/>
          <w:szCs w:val="22"/>
        </w:rPr>
        <w:t>1</w:t>
      </w:r>
      <w:r w:rsidR="00B44DC6">
        <w:rPr>
          <w:bCs/>
          <w:szCs w:val="22"/>
        </w:rPr>
        <w:t>2</w:t>
      </w:r>
      <w:r>
        <w:rPr>
          <w:szCs w:val="22"/>
        </w:rPr>
        <w:t xml:space="preserve"> and </w:t>
      </w:r>
      <w:r w:rsidR="000A28EE">
        <w:rPr>
          <w:szCs w:val="22"/>
        </w:rPr>
        <w:t xml:space="preserve">does not affect the application of any other provision of Standard 1.2.7. </w:t>
      </w:r>
      <w:r>
        <w:rPr>
          <w:szCs w:val="22"/>
        </w:rPr>
        <w:t xml:space="preserve"> That is, a claim made under or in accordance with Standard </w:t>
      </w:r>
      <w:r w:rsidR="000A28EE">
        <w:rPr>
          <w:szCs w:val="22"/>
        </w:rPr>
        <w:t xml:space="preserve">1.2.12 </w:t>
      </w:r>
      <w:r>
        <w:rPr>
          <w:szCs w:val="22"/>
        </w:rPr>
        <w:t xml:space="preserve">must comply with </w:t>
      </w:r>
      <w:r w:rsidR="00B44DC6">
        <w:rPr>
          <w:szCs w:val="22"/>
        </w:rPr>
        <w:t>all</w:t>
      </w:r>
      <w:r>
        <w:rPr>
          <w:szCs w:val="22"/>
        </w:rPr>
        <w:t xml:space="preserve"> applicable </w:t>
      </w:r>
      <w:r w:rsidR="000A28EE">
        <w:rPr>
          <w:szCs w:val="22"/>
        </w:rPr>
        <w:t>section</w:t>
      </w:r>
      <w:r w:rsidR="00B44DC6">
        <w:rPr>
          <w:szCs w:val="22"/>
        </w:rPr>
        <w:t>s</w:t>
      </w:r>
      <w:r>
        <w:rPr>
          <w:szCs w:val="22"/>
        </w:rPr>
        <w:t xml:space="preserve"> of Standard 1.2.7</w:t>
      </w:r>
      <w:r w:rsidR="000A28EE">
        <w:rPr>
          <w:szCs w:val="22"/>
        </w:rPr>
        <w:t xml:space="preserve"> </w:t>
      </w:r>
      <w:r>
        <w:rPr>
          <w:szCs w:val="22"/>
        </w:rPr>
        <w:t xml:space="preserve">other than </w:t>
      </w:r>
      <w:r w:rsidR="000A28EE">
        <w:rPr>
          <w:szCs w:val="22"/>
        </w:rPr>
        <w:t>section 1.2.7</w:t>
      </w:r>
      <w:r w:rsidR="000A28EE" w:rsidRPr="00AE57E1">
        <w:rPr>
          <w:rFonts w:cs="Arial"/>
        </w:rPr>
        <w:t>—</w:t>
      </w:r>
      <w:r w:rsidR="000A28EE">
        <w:rPr>
          <w:bCs/>
          <w:szCs w:val="22"/>
        </w:rPr>
        <w:t>1</w:t>
      </w:r>
      <w:r w:rsidR="00B44DC6">
        <w:rPr>
          <w:bCs/>
          <w:szCs w:val="22"/>
        </w:rPr>
        <w:t>2</w:t>
      </w:r>
      <w:r>
        <w:rPr>
          <w:szCs w:val="22"/>
        </w:rPr>
        <w:t xml:space="preserve">. </w:t>
      </w:r>
    </w:p>
    <w:p w:rsidR="00E1348F" w:rsidRDefault="00E1348F" w:rsidP="00E1348F">
      <w:pPr>
        <w:rPr>
          <w:szCs w:val="22"/>
        </w:rPr>
      </w:pPr>
    </w:p>
    <w:p w:rsidR="00E1348F" w:rsidRDefault="00E1348F" w:rsidP="00E1348F">
      <w:pPr>
        <w:rPr>
          <w:rFonts w:cs="Arial"/>
          <w:szCs w:val="22"/>
          <w:lang w:eastAsia="en-GB"/>
        </w:rPr>
      </w:pPr>
      <w:r>
        <w:rPr>
          <w:szCs w:val="22"/>
        </w:rPr>
        <w:t>Sub</w:t>
      </w:r>
      <w:r w:rsidR="000A28EE">
        <w:rPr>
          <w:szCs w:val="22"/>
        </w:rPr>
        <w:t>section</w:t>
      </w:r>
      <w:r>
        <w:rPr>
          <w:szCs w:val="22"/>
        </w:rPr>
        <w:t xml:space="preserve"> </w:t>
      </w:r>
      <w:r w:rsidR="000A28EE">
        <w:rPr>
          <w:bCs/>
          <w:szCs w:val="22"/>
        </w:rPr>
        <w:t>1.2.12</w:t>
      </w:r>
      <w:r w:rsidR="000A28EE" w:rsidRPr="00AE57E1">
        <w:rPr>
          <w:rFonts w:cs="Arial"/>
        </w:rPr>
        <w:t>—</w:t>
      </w:r>
      <w:r w:rsidR="000A28EE">
        <w:rPr>
          <w:bCs/>
          <w:szCs w:val="22"/>
        </w:rPr>
        <w:t>2</w:t>
      </w:r>
      <w:r>
        <w:rPr>
          <w:szCs w:val="22"/>
        </w:rPr>
        <w:t xml:space="preserve">(3) </w:t>
      </w:r>
      <w:proofErr w:type="gramStart"/>
      <w:r>
        <w:rPr>
          <w:szCs w:val="22"/>
        </w:rPr>
        <w:t>provides</w:t>
      </w:r>
      <w:proofErr w:type="gramEnd"/>
      <w:r>
        <w:rPr>
          <w:szCs w:val="22"/>
        </w:rPr>
        <w:t xml:space="preserve"> that </w:t>
      </w:r>
      <w:r>
        <w:rPr>
          <w:rFonts w:cs="Arial"/>
          <w:szCs w:val="22"/>
          <w:lang w:eastAsia="en-GB"/>
        </w:rPr>
        <w:t>sub</w:t>
      </w:r>
      <w:r w:rsidR="000A28EE">
        <w:rPr>
          <w:rFonts w:cs="Arial"/>
          <w:szCs w:val="22"/>
          <w:lang w:eastAsia="en-GB"/>
        </w:rPr>
        <w:t>section</w:t>
      </w:r>
      <w:r>
        <w:rPr>
          <w:rFonts w:cs="Arial"/>
          <w:szCs w:val="22"/>
          <w:lang w:eastAsia="en-GB"/>
        </w:rPr>
        <w:t xml:space="preserve"> </w:t>
      </w:r>
      <w:r w:rsidR="000A28EE">
        <w:rPr>
          <w:rFonts w:cs="Arial"/>
          <w:szCs w:val="22"/>
          <w:lang w:eastAsia="en-GB"/>
        </w:rPr>
        <w:t>1.1.1</w:t>
      </w:r>
      <w:r w:rsidR="00713B5C" w:rsidRPr="00AE57E1">
        <w:rPr>
          <w:rFonts w:cs="Arial"/>
        </w:rPr>
        <w:t>—</w:t>
      </w:r>
      <w:r w:rsidR="000A28EE">
        <w:rPr>
          <w:rFonts w:cs="Arial"/>
          <w:szCs w:val="22"/>
          <w:lang w:eastAsia="en-GB"/>
        </w:rPr>
        <w:t xml:space="preserve">9(1) </w:t>
      </w:r>
      <w:r>
        <w:rPr>
          <w:rFonts w:cs="Arial"/>
          <w:szCs w:val="22"/>
          <w:lang w:eastAsia="en-GB"/>
        </w:rPr>
        <w:t xml:space="preserve">does not apply to Standard </w:t>
      </w:r>
      <w:r w:rsidR="000A28EE">
        <w:rPr>
          <w:szCs w:val="22"/>
        </w:rPr>
        <w:t>1.2.12</w:t>
      </w:r>
      <w:r>
        <w:rPr>
          <w:rFonts w:cs="Arial"/>
          <w:szCs w:val="22"/>
          <w:lang w:eastAsia="en-GB"/>
        </w:rPr>
        <w:t xml:space="preserve">. This means, for example, there will be no stock in trade exemption when Standard </w:t>
      </w:r>
      <w:r w:rsidR="000A28EE">
        <w:rPr>
          <w:szCs w:val="22"/>
        </w:rPr>
        <w:t xml:space="preserve">1.2.12 </w:t>
      </w:r>
      <w:r>
        <w:rPr>
          <w:rFonts w:cs="Arial"/>
          <w:szCs w:val="22"/>
          <w:lang w:eastAsia="en-GB"/>
        </w:rPr>
        <w:t>commences.</w:t>
      </w:r>
    </w:p>
    <w:p w:rsidR="00E1348F" w:rsidRPr="00B44DC6" w:rsidRDefault="00E1348F" w:rsidP="00E1348F">
      <w:pPr>
        <w:pStyle w:val="Clause"/>
        <w:rPr>
          <w:sz w:val="22"/>
          <w:szCs w:val="22"/>
        </w:rPr>
      </w:pPr>
    </w:p>
    <w:p w:rsidR="00E1348F" w:rsidRPr="00B44DC6" w:rsidRDefault="00326A75" w:rsidP="00E1348F">
      <w:pPr>
        <w:pStyle w:val="Clause"/>
        <w:rPr>
          <w:rFonts w:eastAsiaTheme="minorHAnsi" w:cs="Arial"/>
          <w:sz w:val="22"/>
          <w:szCs w:val="22"/>
        </w:rPr>
      </w:pPr>
      <w:r w:rsidRPr="00B44DC6">
        <w:rPr>
          <w:bCs/>
          <w:sz w:val="22"/>
          <w:szCs w:val="22"/>
        </w:rPr>
        <w:t>Section 1.2.12</w:t>
      </w:r>
      <w:r w:rsidRPr="00B44DC6">
        <w:rPr>
          <w:rFonts w:cs="Arial"/>
          <w:sz w:val="22"/>
          <w:szCs w:val="22"/>
        </w:rPr>
        <w:t>—</w:t>
      </w:r>
      <w:r w:rsidRPr="00B44DC6">
        <w:rPr>
          <w:bCs/>
          <w:sz w:val="22"/>
          <w:szCs w:val="22"/>
        </w:rPr>
        <w:t xml:space="preserve">3 </w:t>
      </w:r>
      <w:r w:rsidR="00E1348F" w:rsidRPr="00B44DC6">
        <w:rPr>
          <w:sz w:val="22"/>
          <w:szCs w:val="22"/>
        </w:rPr>
        <w:t>lists the requirements for claims</w:t>
      </w:r>
      <w:r w:rsidR="00E1348F" w:rsidRPr="00B44DC6">
        <w:rPr>
          <w:rFonts w:eastAsiaTheme="minorHAnsi" w:cs="Arial"/>
          <w:sz w:val="22"/>
          <w:szCs w:val="22"/>
        </w:rPr>
        <w:t xml:space="preserve"> </w:t>
      </w:r>
      <w:r w:rsidR="00E1348F" w:rsidRPr="00B44DC6">
        <w:rPr>
          <w:rFonts w:cs="Arial"/>
          <w:sz w:val="22"/>
          <w:szCs w:val="22"/>
        </w:rPr>
        <w:t>about the presence or absence of dietary fibre</w:t>
      </w:r>
      <w:r w:rsidR="00E1348F" w:rsidRPr="00B44DC6">
        <w:rPr>
          <w:rFonts w:eastAsiaTheme="minorHAnsi" w:cs="Arial"/>
          <w:sz w:val="22"/>
          <w:szCs w:val="22"/>
        </w:rPr>
        <w:t xml:space="preserve"> in a food that are permitted by </w:t>
      </w:r>
      <w:r w:rsidRPr="00B44DC6">
        <w:rPr>
          <w:bCs/>
          <w:sz w:val="22"/>
          <w:szCs w:val="22"/>
        </w:rPr>
        <w:t>section 1.2.12</w:t>
      </w:r>
      <w:r w:rsidRPr="00B44DC6">
        <w:rPr>
          <w:rFonts w:cs="Arial"/>
          <w:sz w:val="22"/>
          <w:szCs w:val="22"/>
        </w:rPr>
        <w:t>—</w:t>
      </w:r>
      <w:r w:rsidRPr="00B44DC6">
        <w:rPr>
          <w:bCs/>
          <w:sz w:val="22"/>
          <w:szCs w:val="22"/>
        </w:rPr>
        <w:t>2</w:t>
      </w:r>
      <w:r w:rsidR="00E1348F" w:rsidRPr="00B44DC6">
        <w:rPr>
          <w:rFonts w:eastAsiaTheme="minorHAnsi" w:cs="Arial"/>
          <w:sz w:val="22"/>
          <w:szCs w:val="22"/>
        </w:rPr>
        <w:t>.</w:t>
      </w:r>
    </w:p>
    <w:p w:rsidR="00E1348F" w:rsidRPr="00B44DC6" w:rsidRDefault="00E1348F" w:rsidP="00E1348F">
      <w:pPr>
        <w:pStyle w:val="Clause"/>
        <w:rPr>
          <w:rFonts w:eastAsiaTheme="minorHAnsi" w:cs="Arial"/>
          <w:sz w:val="22"/>
          <w:szCs w:val="22"/>
        </w:rPr>
      </w:pPr>
    </w:p>
    <w:p w:rsidR="00E1348F" w:rsidRPr="00B44DC6" w:rsidRDefault="00326A75" w:rsidP="00E1348F">
      <w:pPr>
        <w:pStyle w:val="Clause"/>
        <w:rPr>
          <w:sz w:val="22"/>
          <w:szCs w:val="22"/>
        </w:rPr>
      </w:pPr>
      <w:r w:rsidRPr="00B44DC6">
        <w:rPr>
          <w:bCs/>
          <w:sz w:val="22"/>
          <w:szCs w:val="22"/>
        </w:rPr>
        <w:t>Subsection 1.2.12</w:t>
      </w:r>
      <w:r w:rsidRPr="00B44DC6">
        <w:rPr>
          <w:rFonts w:cs="Arial"/>
          <w:sz w:val="22"/>
          <w:szCs w:val="22"/>
        </w:rPr>
        <w:t>—</w:t>
      </w:r>
      <w:r w:rsidRPr="00B44DC6">
        <w:rPr>
          <w:bCs/>
          <w:sz w:val="22"/>
          <w:szCs w:val="22"/>
        </w:rPr>
        <w:t>3</w:t>
      </w:r>
      <w:r w:rsidR="00E1348F" w:rsidRPr="00B44DC6">
        <w:rPr>
          <w:sz w:val="22"/>
          <w:szCs w:val="22"/>
        </w:rPr>
        <w:t xml:space="preserve">(1) permits such </w:t>
      </w:r>
      <w:r w:rsidR="00E1348F" w:rsidRPr="00B44DC6">
        <w:rPr>
          <w:rFonts w:eastAsiaTheme="minorHAnsi" w:cs="Arial"/>
          <w:sz w:val="22"/>
          <w:szCs w:val="22"/>
        </w:rPr>
        <w:t xml:space="preserve">a claim to use any descriptor that is not mentioned in </w:t>
      </w:r>
      <w:r w:rsidRPr="00B44DC6">
        <w:rPr>
          <w:rFonts w:eastAsiaTheme="minorHAnsi" w:cs="Arial"/>
          <w:sz w:val="22"/>
          <w:szCs w:val="22"/>
        </w:rPr>
        <w:t xml:space="preserve">subsection </w:t>
      </w:r>
      <w:r w:rsidRPr="00B44DC6">
        <w:rPr>
          <w:bCs/>
          <w:sz w:val="22"/>
          <w:szCs w:val="22"/>
        </w:rPr>
        <w:t>1.2.12</w:t>
      </w:r>
      <w:r w:rsidRPr="00B44DC6">
        <w:rPr>
          <w:rFonts w:cs="Arial"/>
          <w:sz w:val="22"/>
          <w:szCs w:val="22"/>
        </w:rPr>
        <w:t>—</w:t>
      </w:r>
      <w:r w:rsidRPr="00B44DC6">
        <w:rPr>
          <w:bCs/>
          <w:sz w:val="22"/>
          <w:szCs w:val="22"/>
        </w:rPr>
        <w:t>3(2)</w:t>
      </w:r>
      <w:r w:rsidR="00E1348F" w:rsidRPr="00B44DC6">
        <w:rPr>
          <w:rFonts w:eastAsiaTheme="minorHAnsi" w:cs="Arial"/>
          <w:sz w:val="22"/>
          <w:szCs w:val="22"/>
        </w:rPr>
        <w:t>. This permission includes the use of a descriptor expressed as a number or in numeric form</w:t>
      </w:r>
      <w:r w:rsidR="00E1348F" w:rsidRPr="00B44DC6">
        <w:rPr>
          <w:sz w:val="22"/>
          <w:szCs w:val="22"/>
        </w:rPr>
        <w:t>.</w:t>
      </w:r>
    </w:p>
    <w:p w:rsidR="00E1348F" w:rsidRPr="00B44DC6" w:rsidRDefault="00E1348F" w:rsidP="00E1348F">
      <w:pPr>
        <w:pStyle w:val="Clause"/>
        <w:rPr>
          <w:sz w:val="22"/>
          <w:szCs w:val="22"/>
        </w:rPr>
      </w:pPr>
    </w:p>
    <w:p w:rsidR="00E1348F" w:rsidRPr="00B44DC6" w:rsidRDefault="00E1348F" w:rsidP="00E1348F">
      <w:pPr>
        <w:pStyle w:val="Clause"/>
        <w:rPr>
          <w:rFonts w:eastAsiaTheme="minorHAnsi" w:cs="Arial"/>
          <w:sz w:val="22"/>
          <w:szCs w:val="22"/>
        </w:rPr>
      </w:pPr>
      <w:r w:rsidRPr="00B44DC6">
        <w:rPr>
          <w:sz w:val="22"/>
          <w:szCs w:val="22"/>
        </w:rPr>
        <w:t>Sub</w:t>
      </w:r>
      <w:r w:rsidR="00326A75" w:rsidRPr="00B44DC6">
        <w:rPr>
          <w:sz w:val="22"/>
          <w:szCs w:val="22"/>
        </w:rPr>
        <w:t xml:space="preserve">section </w:t>
      </w:r>
      <w:r w:rsidR="00326A75" w:rsidRPr="00B44DC6">
        <w:rPr>
          <w:bCs/>
          <w:sz w:val="22"/>
          <w:szCs w:val="22"/>
        </w:rPr>
        <w:t>1.2.12</w:t>
      </w:r>
      <w:r w:rsidR="00326A75" w:rsidRPr="00B44DC6">
        <w:rPr>
          <w:rFonts w:cs="Arial"/>
          <w:sz w:val="22"/>
          <w:szCs w:val="22"/>
        </w:rPr>
        <w:t>—</w:t>
      </w:r>
      <w:r w:rsidR="00326A75" w:rsidRPr="00B44DC6">
        <w:rPr>
          <w:bCs/>
          <w:sz w:val="22"/>
          <w:szCs w:val="22"/>
        </w:rPr>
        <w:t>3(2)</w:t>
      </w:r>
      <w:r w:rsidRPr="00B44DC6">
        <w:rPr>
          <w:sz w:val="22"/>
          <w:szCs w:val="22"/>
        </w:rPr>
        <w:t xml:space="preserve"> imposes a specific condition for the use of the descriptor </w:t>
      </w:r>
      <w:r w:rsidRPr="00B44DC6">
        <w:rPr>
          <w:rFonts w:eastAsiaTheme="minorHAnsi" w:cs="Arial"/>
          <w:sz w:val="22"/>
          <w:szCs w:val="22"/>
        </w:rPr>
        <w:t xml:space="preserve">‘increased’ or a synonym of that descriptor in such claims—the relevant food must </w:t>
      </w:r>
      <w:r w:rsidRPr="00B44DC6">
        <w:rPr>
          <w:rFonts w:eastAsiaTheme="minorHAnsi" w:cs="Arial"/>
          <w:bCs/>
          <w:sz w:val="22"/>
          <w:szCs w:val="22"/>
          <w:lang w:eastAsia="en-AU"/>
        </w:rPr>
        <w:t>contain at least 25% more dietary fibre than in the same quantity of reference food</w:t>
      </w:r>
      <w:r w:rsidRPr="00B44DC6">
        <w:rPr>
          <w:rFonts w:eastAsiaTheme="minorHAnsi" w:cs="Arial"/>
          <w:sz w:val="22"/>
          <w:szCs w:val="22"/>
        </w:rPr>
        <w:t>.</w:t>
      </w:r>
    </w:p>
    <w:p w:rsidR="00E1348F" w:rsidRPr="00B44DC6" w:rsidRDefault="00E1348F" w:rsidP="00E1348F">
      <w:pPr>
        <w:pStyle w:val="Clause"/>
        <w:rPr>
          <w:rFonts w:eastAsiaTheme="minorHAnsi" w:cs="Arial"/>
          <w:sz w:val="22"/>
          <w:szCs w:val="22"/>
        </w:rPr>
      </w:pPr>
    </w:p>
    <w:p w:rsidR="00E1348F" w:rsidRPr="00B44DC6" w:rsidRDefault="00326A75" w:rsidP="00E1348F">
      <w:pPr>
        <w:pStyle w:val="Clause"/>
        <w:rPr>
          <w:rFonts w:eastAsiaTheme="minorHAnsi" w:cs="Arial"/>
          <w:sz w:val="22"/>
          <w:szCs w:val="22"/>
        </w:rPr>
      </w:pPr>
      <w:r w:rsidRPr="00B44DC6">
        <w:rPr>
          <w:sz w:val="22"/>
          <w:szCs w:val="22"/>
        </w:rPr>
        <w:t xml:space="preserve">Subsection </w:t>
      </w:r>
      <w:r w:rsidRPr="00B44DC6">
        <w:rPr>
          <w:bCs/>
          <w:sz w:val="22"/>
          <w:szCs w:val="22"/>
        </w:rPr>
        <w:t>1.2.12</w:t>
      </w:r>
      <w:r w:rsidRPr="00B44DC6">
        <w:rPr>
          <w:rFonts w:cs="Arial"/>
          <w:sz w:val="22"/>
          <w:szCs w:val="22"/>
        </w:rPr>
        <w:t>—</w:t>
      </w:r>
      <w:r w:rsidRPr="00B44DC6">
        <w:rPr>
          <w:bCs/>
          <w:sz w:val="22"/>
          <w:szCs w:val="22"/>
        </w:rPr>
        <w:t>3</w:t>
      </w:r>
      <w:r w:rsidRPr="00B44DC6">
        <w:rPr>
          <w:rFonts w:eastAsiaTheme="minorHAnsi" w:cs="Arial"/>
          <w:sz w:val="22"/>
          <w:szCs w:val="22"/>
        </w:rPr>
        <w:t xml:space="preserve"> </w:t>
      </w:r>
      <w:r w:rsidR="00E1348F" w:rsidRPr="00B44DC6">
        <w:rPr>
          <w:rFonts w:eastAsiaTheme="minorHAnsi" w:cs="Arial"/>
          <w:sz w:val="22"/>
          <w:szCs w:val="22"/>
        </w:rPr>
        <w:t xml:space="preserve">(3) provides definitions for terms used in </w:t>
      </w:r>
      <w:r w:rsidRPr="00B44DC6">
        <w:rPr>
          <w:rFonts w:eastAsiaTheme="minorHAnsi" w:cs="Arial"/>
          <w:sz w:val="22"/>
          <w:szCs w:val="22"/>
        </w:rPr>
        <w:t xml:space="preserve">section </w:t>
      </w:r>
      <w:r w:rsidRPr="00B44DC6">
        <w:rPr>
          <w:bCs/>
          <w:sz w:val="22"/>
          <w:szCs w:val="22"/>
        </w:rPr>
        <w:t>1.2.12</w:t>
      </w:r>
      <w:r w:rsidRPr="00B44DC6">
        <w:rPr>
          <w:rFonts w:cs="Arial"/>
          <w:sz w:val="22"/>
          <w:szCs w:val="22"/>
        </w:rPr>
        <w:t>—</w:t>
      </w:r>
      <w:proofErr w:type="gramStart"/>
      <w:r w:rsidRPr="00B44DC6">
        <w:rPr>
          <w:bCs/>
          <w:sz w:val="22"/>
          <w:szCs w:val="22"/>
        </w:rPr>
        <w:t xml:space="preserve">3 </w:t>
      </w:r>
      <w:r w:rsidR="00E1348F" w:rsidRPr="00B44DC6">
        <w:rPr>
          <w:rFonts w:eastAsiaTheme="minorHAnsi" w:cs="Arial"/>
          <w:sz w:val="22"/>
          <w:szCs w:val="22"/>
        </w:rPr>
        <w:t xml:space="preserve"> (</w:t>
      </w:r>
      <w:proofErr w:type="gramEnd"/>
      <w:r w:rsidR="00E1348F" w:rsidRPr="00B44DC6">
        <w:rPr>
          <w:rFonts w:eastAsiaTheme="minorHAnsi" w:cs="Arial"/>
          <w:sz w:val="22"/>
          <w:szCs w:val="22"/>
        </w:rPr>
        <w:t xml:space="preserve">“food group” and “reference food”). </w:t>
      </w:r>
    </w:p>
    <w:p w:rsidR="00326A75" w:rsidRPr="00B44DC6" w:rsidRDefault="00326A75" w:rsidP="00326A75">
      <w:pPr>
        <w:rPr>
          <w:rFonts w:eastAsiaTheme="minorHAnsi"/>
          <w:szCs w:val="22"/>
        </w:rPr>
      </w:pPr>
    </w:p>
    <w:p w:rsidR="00326A75" w:rsidRPr="00B44DC6" w:rsidRDefault="00326A75" w:rsidP="00326A75">
      <w:pPr>
        <w:rPr>
          <w:rFonts w:eastAsiaTheme="minorHAnsi"/>
          <w:szCs w:val="22"/>
        </w:rPr>
      </w:pPr>
      <w:r w:rsidRPr="00B44DC6">
        <w:rPr>
          <w:bCs/>
          <w:szCs w:val="22"/>
        </w:rPr>
        <w:t>Section 1.2.12</w:t>
      </w:r>
      <w:r w:rsidRPr="00B44DC6">
        <w:rPr>
          <w:rFonts w:cs="Arial"/>
          <w:szCs w:val="22"/>
        </w:rPr>
        <w:t>—</w:t>
      </w:r>
      <w:r w:rsidRPr="00B44DC6">
        <w:rPr>
          <w:bCs/>
          <w:szCs w:val="22"/>
        </w:rPr>
        <w:t xml:space="preserve">4 provides that Standard 1.2.12 ceases to have effect on 18 January 2017.  </w:t>
      </w:r>
    </w:p>
    <w:p w:rsidR="00E1348F" w:rsidRPr="00B44DC6" w:rsidRDefault="00E1348F" w:rsidP="00E1348F">
      <w:pPr>
        <w:widowControl/>
        <w:rPr>
          <w:szCs w:val="22"/>
        </w:rPr>
      </w:pPr>
      <w:r w:rsidRPr="00B44DC6">
        <w:rPr>
          <w:szCs w:val="22"/>
        </w:rPr>
        <w:br w:type="page"/>
      </w:r>
    </w:p>
    <w:p w:rsidR="00E1348F" w:rsidRDefault="00D22676" w:rsidP="00E1348F">
      <w:pPr>
        <w:rPr>
          <w:b/>
          <w:sz w:val="28"/>
          <w:szCs w:val="28"/>
        </w:rPr>
      </w:pPr>
      <w:r w:rsidRPr="0052439D">
        <w:rPr>
          <w:rFonts w:cs="Arial"/>
          <w:b/>
          <w:i/>
          <w:sz w:val="28"/>
          <w:szCs w:val="28"/>
        </w:rPr>
        <w:lastRenderedPageBreak/>
        <w:t xml:space="preserve">Australia New Zealand </w:t>
      </w:r>
      <w:r w:rsidR="0052439D" w:rsidRPr="0052439D">
        <w:rPr>
          <w:rFonts w:cs="Arial"/>
          <w:b/>
          <w:i/>
          <w:sz w:val="28"/>
          <w:szCs w:val="28"/>
        </w:rPr>
        <w:t xml:space="preserve">Food Standards </w:t>
      </w:r>
      <w:r w:rsidRPr="0052439D">
        <w:rPr>
          <w:rFonts w:cs="Arial"/>
          <w:b/>
          <w:i/>
          <w:sz w:val="28"/>
          <w:szCs w:val="28"/>
        </w:rPr>
        <w:t>Code</w:t>
      </w:r>
      <w:r w:rsidRPr="00C47340">
        <w:rPr>
          <w:rFonts w:cs="Arial"/>
          <w:b/>
          <w:sz w:val="28"/>
          <w:szCs w:val="28"/>
        </w:rPr>
        <w:t xml:space="preserve"> </w:t>
      </w:r>
      <w:r w:rsidR="0052439D">
        <w:rPr>
          <w:rFonts w:cs="Arial"/>
          <w:b/>
          <w:color w:val="000000"/>
          <w:sz w:val="28"/>
          <w:szCs w:val="28"/>
        </w:rPr>
        <w:t>–</w:t>
      </w:r>
      <w:r w:rsidRPr="00C47340">
        <w:rPr>
          <w:rFonts w:cs="Arial"/>
          <w:b/>
          <w:color w:val="000000"/>
          <w:sz w:val="28"/>
          <w:szCs w:val="28"/>
        </w:rPr>
        <w:t xml:space="preserve"> Revocation and Transitional Variation</w:t>
      </w:r>
      <w:r w:rsidRPr="00C47340">
        <w:rPr>
          <w:rFonts w:cs="Arial"/>
          <w:b/>
          <w:sz w:val="28"/>
          <w:szCs w:val="28"/>
        </w:rPr>
        <w:t xml:space="preserve"> 2015 (</w:t>
      </w:r>
      <w:r w:rsidRPr="00D22676">
        <w:rPr>
          <w:rFonts w:cs="Arial"/>
          <w:b/>
          <w:i/>
          <w:sz w:val="28"/>
          <w:szCs w:val="28"/>
        </w:rPr>
        <w:t>Application A1101 – Commencement of Dietary Fibre Claim Provisions</w:t>
      </w:r>
      <w:r w:rsidRPr="00D93544">
        <w:rPr>
          <w:b/>
          <w:sz w:val="28"/>
          <w:szCs w:val="28"/>
        </w:rPr>
        <w:t xml:space="preserve"> </w:t>
      </w:r>
      <w:r w:rsidR="00E1348F" w:rsidRPr="00D93544">
        <w:rPr>
          <w:b/>
          <w:sz w:val="28"/>
          <w:szCs w:val="28"/>
        </w:rPr>
        <w:t xml:space="preserve">– </w:t>
      </w:r>
      <w:r w:rsidR="00E1348F" w:rsidRPr="00D22676">
        <w:rPr>
          <w:b/>
          <w:i/>
          <w:sz w:val="28"/>
          <w:szCs w:val="28"/>
        </w:rPr>
        <w:t>Consequential</w:t>
      </w:r>
      <w:r w:rsidR="00E1348F" w:rsidRPr="00D93544">
        <w:rPr>
          <w:b/>
          <w:sz w:val="28"/>
          <w:szCs w:val="28"/>
        </w:rPr>
        <w:t xml:space="preserve">) </w:t>
      </w:r>
    </w:p>
    <w:p w:rsidR="00E1348F" w:rsidRDefault="00E1348F" w:rsidP="00E1348F"/>
    <w:p w:rsidR="00E1348F" w:rsidRDefault="00E1348F" w:rsidP="00E1348F">
      <w:pPr>
        <w:rPr>
          <w:b/>
          <w:lang w:val="en-AU" w:eastAsia="en-GB" w:bidi="ar-SA"/>
        </w:rPr>
      </w:pPr>
      <w:r>
        <w:rPr>
          <w:b/>
          <w:lang w:val="en-AU" w:eastAsia="en-GB" w:bidi="ar-SA"/>
        </w:rPr>
        <w:t>1.</w:t>
      </w:r>
      <w:r>
        <w:rPr>
          <w:b/>
          <w:lang w:val="en-AU" w:eastAsia="en-GB" w:bidi="ar-SA"/>
        </w:rPr>
        <w:tab/>
        <w:t>Authority</w:t>
      </w:r>
    </w:p>
    <w:p w:rsidR="00E1348F" w:rsidRDefault="00E1348F" w:rsidP="00E1348F">
      <w:pPr>
        <w:rPr>
          <w:lang w:val="en-AU" w:eastAsia="en-GB"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FSANZ accepted Application A1101 which seeks to delay the requirement to comply with the qualifying criteria for nutrition content claims about dietary Standard 1.2.7 – Nutrition, Health and Related Claims, for 12 months (that is, until and including 17 January 2017). The Authority considered the Application in accordance with Division 1 of Part 3 and has approved a draft variation to the Code, which consists of a draft new Standard</w:t>
      </w:r>
      <w:r w:rsidRPr="00C648FD">
        <w:rPr>
          <w:rFonts w:eastAsia="Calibri" w:cs="Arial"/>
          <w:bCs/>
          <w:szCs w:val="22"/>
          <w:lang w:val="en-AU" w:bidi="ar-SA"/>
        </w:rPr>
        <w:t xml:space="preserve"> </w:t>
      </w:r>
      <w:r>
        <w:rPr>
          <w:rFonts w:eastAsia="Calibri" w:cs="Arial"/>
          <w:bCs/>
          <w:szCs w:val="22"/>
          <w:lang w:val="en-AU" w:bidi="ar-SA"/>
        </w:rPr>
        <w:t>1.</w:t>
      </w:r>
      <w:r w:rsidR="00D22676">
        <w:rPr>
          <w:rFonts w:eastAsia="Calibri" w:cs="Arial"/>
          <w:bCs/>
          <w:szCs w:val="22"/>
          <w:lang w:val="en-AU" w:bidi="ar-SA"/>
        </w:rPr>
        <w:t>2.12</w:t>
      </w:r>
      <w:r>
        <w:rPr>
          <w:rFonts w:eastAsia="Calibri" w:cs="Arial"/>
          <w:bCs/>
          <w:szCs w:val="22"/>
          <w:lang w:val="en-AU" w:bidi="ar-SA"/>
        </w:rPr>
        <w:t xml:space="preserve"> – </w:t>
      </w:r>
      <w:r w:rsidR="00D22676" w:rsidRPr="00D84E5F">
        <w:t>Transitional standard for dietary fibre nutrition content claims</w:t>
      </w:r>
      <w:r w:rsidR="00D22676">
        <w:rPr>
          <w:rFonts w:eastAsia="Calibri" w:cs="Arial"/>
          <w:bCs/>
          <w:szCs w:val="22"/>
          <w:lang w:val="en-AU" w:bidi="ar-SA"/>
        </w:rPr>
        <w:t xml:space="preserve"> </w:t>
      </w:r>
      <w:r>
        <w:rPr>
          <w:rFonts w:eastAsia="Calibri" w:cs="Arial"/>
          <w:bCs/>
          <w:szCs w:val="22"/>
          <w:lang w:val="en-AU" w:bidi="ar-SA"/>
        </w:rPr>
        <w:t xml:space="preserve">and draft </w:t>
      </w:r>
      <w:r w:rsidR="00D22676">
        <w:rPr>
          <w:rFonts w:eastAsia="Calibri" w:cs="Arial"/>
          <w:bCs/>
          <w:szCs w:val="22"/>
          <w:lang w:val="en-AU" w:bidi="ar-SA"/>
        </w:rPr>
        <w:t xml:space="preserve">variation </w:t>
      </w:r>
      <w:r>
        <w:rPr>
          <w:rFonts w:eastAsia="Calibri" w:cs="Arial"/>
          <w:bCs/>
          <w:szCs w:val="22"/>
          <w:lang w:val="en-AU" w:bidi="ar-SA"/>
        </w:rPr>
        <w:t>consequential variation</w:t>
      </w:r>
      <w:r w:rsidR="00D22676">
        <w:rPr>
          <w:rFonts w:eastAsia="Calibri" w:cs="Arial"/>
          <w:bCs/>
          <w:szCs w:val="22"/>
          <w:lang w:val="en-AU" w:bidi="ar-SA"/>
        </w:rPr>
        <w:t>s</w:t>
      </w:r>
      <w:r>
        <w:rPr>
          <w:rFonts w:eastAsia="Calibri" w:cs="Arial"/>
          <w:bCs/>
          <w:szCs w:val="22"/>
          <w:lang w:val="en-AU" w:bidi="ar-SA"/>
        </w:rPr>
        <w:t xml:space="preserve"> to </w:t>
      </w:r>
      <w:r w:rsidR="00D22676">
        <w:rPr>
          <w:rFonts w:eastAsia="Calibri" w:cs="Arial"/>
          <w:bCs/>
          <w:szCs w:val="22"/>
          <w:lang w:val="en-AU" w:bidi="ar-SA"/>
        </w:rPr>
        <w:t xml:space="preserve">other </w:t>
      </w:r>
      <w:r>
        <w:rPr>
          <w:rFonts w:eastAsia="Calibri" w:cs="Arial"/>
          <w:bCs/>
          <w:szCs w:val="22"/>
          <w:lang w:val="en-AU" w:bidi="ar-SA"/>
        </w:rPr>
        <w:t>Standard</w:t>
      </w:r>
      <w:r w:rsidR="00D22676">
        <w:rPr>
          <w:rFonts w:eastAsia="Calibri" w:cs="Arial"/>
          <w:bCs/>
          <w:szCs w:val="22"/>
          <w:lang w:val="en-AU" w:bidi="ar-SA"/>
        </w:rPr>
        <w:t>s</w:t>
      </w:r>
      <w:r>
        <w:rPr>
          <w:rFonts w:eastAsia="Calibri" w:cs="Arial"/>
          <w:bCs/>
          <w:szCs w:val="22"/>
          <w:lang w:val="en-AU" w:bidi="ar-SA"/>
        </w:rPr>
        <w:t xml:space="preserve">. </w:t>
      </w:r>
    </w:p>
    <w:p w:rsidR="00E1348F" w:rsidRDefault="00E1348F" w:rsidP="00E1348F">
      <w:pPr>
        <w:widowControl/>
        <w:autoSpaceDE w:val="0"/>
        <w:autoSpaceDN w:val="0"/>
        <w:adjustRightInd w:val="0"/>
        <w:rPr>
          <w:rFonts w:eastAsia="Calibri" w:cs="Arial"/>
          <w:bCs/>
          <w:szCs w:val="22"/>
          <w:lang w:val="en-AU" w:bidi="ar-SA"/>
        </w:rPr>
      </w:pPr>
    </w:p>
    <w:p w:rsidR="00E1348F" w:rsidRDefault="00E1348F" w:rsidP="00E1348F">
      <w:pPr>
        <w:rPr>
          <w:b/>
          <w:lang w:val="en-AU" w:eastAsia="en-GB" w:bidi="ar-SA"/>
        </w:rPr>
      </w:pPr>
      <w:r>
        <w:rPr>
          <w:b/>
          <w:lang w:val="en-AU" w:eastAsia="en-GB" w:bidi="ar-SA"/>
        </w:rPr>
        <w:t>2.</w:t>
      </w:r>
      <w:r>
        <w:rPr>
          <w:b/>
          <w:lang w:val="en-AU" w:eastAsia="en-GB" w:bidi="ar-SA"/>
        </w:rPr>
        <w:tab/>
        <w:t xml:space="preserve">Purpose </w:t>
      </w:r>
    </w:p>
    <w:p w:rsidR="00E1348F" w:rsidRDefault="00E1348F" w:rsidP="00E1348F">
      <w:pPr>
        <w:rPr>
          <w:szCs w:val="22"/>
          <w:lang w:val="en-AU" w:eastAsia="en-GB" w:bidi="ar-SA"/>
        </w:rPr>
      </w:pPr>
    </w:p>
    <w:p w:rsidR="00E1348F" w:rsidRDefault="00E1348F" w:rsidP="00E1348F">
      <w:pPr>
        <w:rPr>
          <w:szCs w:val="22"/>
          <w:lang w:val="en-AU" w:eastAsia="en-GB" w:bidi="ar-SA"/>
        </w:rPr>
      </w:pPr>
      <w:r>
        <w:rPr>
          <w:szCs w:val="22"/>
          <w:lang w:val="en-AU" w:eastAsia="en-GB" w:bidi="ar-SA"/>
        </w:rPr>
        <w:t xml:space="preserve">The Authority has approved a draft variation called </w:t>
      </w:r>
      <w:r w:rsidR="00D22676" w:rsidRPr="00C47340">
        <w:rPr>
          <w:rFonts w:cs="Arial"/>
          <w:szCs w:val="22"/>
        </w:rPr>
        <w:t xml:space="preserve">Food Standards Australia New Zealand Code </w:t>
      </w:r>
      <w:r w:rsidR="00D22676" w:rsidRPr="00C47340">
        <w:rPr>
          <w:rFonts w:cs="Arial"/>
          <w:color w:val="000000"/>
          <w:szCs w:val="22"/>
        </w:rPr>
        <w:t>— Revocation and Transitional Variation</w:t>
      </w:r>
      <w:r w:rsidR="00D22676" w:rsidRPr="00C47340">
        <w:rPr>
          <w:rFonts w:cs="Arial"/>
          <w:szCs w:val="22"/>
        </w:rPr>
        <w:t xml:space="preserve"> 2015 (</w:t>
      </w:r>
      <w:r w:rsidR="00D22676" w:rsidRPr="00D22676">
        <w:rPr>
          <w:rFonts w:cs="Arial"/>
          <w:i/>
          <w:szCs w:val="22"/>
        </w:rPr>
        <w:t>Application A1101 – Commencement of Dietary Fibre Claim Provisions</w:t>
      </w:r>
      <w:r w:rsidR="00D22676" w:rsidRPr="00D22676">
        <w:rPr>
          <w:szCs w:val="22"/>
        </w:rPr>
        <w:t xml:space="preserve"> – </w:t>
      </w:r>
      <w:r w:rsidR="00D22676" w:rsidRPr="00D22676">
        <w:rPr>
          <w:i/>
          <w:szCs w:val="22"/>
        </w:rPr>
        <w:t>Consequential</w:t>
      </w:r>
      <w:r w:rsidR="00713B5C">
        <w:rPr>
          <w:i/>
          <w:szCs w:val="22"/>
        </w:rPr>
        <w:t>)</w:t>
      </w:r>
      <w:r w:rsidRPr="00D22676">
        <w:rPr>
          <w:szCs w:val="22"/>
        </w:rPr>
        <w:t xml:space="preserve"> </w:t>
      </w:r>
      <w:r w:rsidRPr="00D22676">
        <w:rPr>
          <w:szCs w:val="22"/>
          <w:lang w:val="en-AU" w:eastAsia="en-GB" w:bidi="ar-SA"/>
        </w:rPr>
        <w:t>to make consequential</w:t>
      </w:r>
      <w:r>
        <w:rPr>
          <w:szCs w:val="22"/>
          <w:lang w:val="en-AU" w:eastAsia="en-GB" w:bidi="ar-SA"/>
        </w:rPr>
        <w:t xml:space="preserve"> amendment</w:t>
      </w:r>
      <w:r w:rsidR="00D22676">
        <w:rPr>
          <w:szCs w:val="22"/>
          <w:lang w:val="en-AU" w:eastAsia="en-GB" w:bidi="ar-SA"/>
        </w:rPr>
        <w:t>s</w:t>
      </w:r>
      <w:r>
        <w:rPr>
          <w:szCs w:val="22"/>
          <w:lang w:val="en-AU" w:eastAsia="en-GB" w:bidi="ar-SA"/>
        </w:rPr>
        <w:t xml:space="preserve"> to Standard</w:t>
      </w:r>
      <w:r w:rsidR="00D22676">
        <w:rPr>
          <w:szCs w:val="22"/>
          <w:lang w:val="en-AU" w:eastAsia="en-GB" w:bidi="ar-SA"/>
        </w:rPr>
        <w:t>s</w:t>
      </w:r>
      <w:r>
        <w:rPr>
          <w:szCs w:val="22"/>
          <w:lang w:val="en-AU" w:eastAsia="en-GB" w:bidi="ar-SA"/>
        </w:rPr>
        <w:t xml:space="preserve"> </w:t>
      </w:r>
      <w:r w:rsidR="00D22676">
        <w:rPr>
          <w:szCs w:val="22"/>
          <w:lang w:val="en-AU" w:eastAsia="en-GB" w:bidi="ar-SA"/>
        </w:rPr>
        <w:t>other than Standard 1.2.12</w:t>
      </w:r>
      <w:r>
        <w:rPr>
          <w:szCs w:val="22"/>
          <w:lang w:val="en-AU" w:eastAsia="en-GB" w:bidi="ar-SA"/>
        </w:rPr>
        <w:t xml:space="preserve">. </w:t>
      </w:r>
    </w:p>
    <w:p w:rsidR="00E1348F" w:rsidRDefault="00E1348F" w:rsidP="00E1348F">
      <w:pPr>
        <w:rPr>
          <w:lang w:val="en-AU" w:eastAsia="en-GB" w:bidi="ar-SA"/>
        </w:rPr>
      </w:pPr>
    </w:p>
    <w:p w:rsidR="00E1348F" w:rsidRDefault="00E1348F" w:rsidP="00E1348F">
      <w:pPr>
        <w:rPr>
          <w:b/>
          <w:lang w:val="en-AU" w:eastAsia="en-GB" w:bidi="ar-SA"/>
        </w:rPr>
      </w:pPr>
      <w:r>
        <w:rPr>
          <w:b/>
          <w:lang w:val="en-AU" w:eastAsia="en-GB" w:bidi="ar-SA"/>
        </w:rPr>
        <w:t>3.</w:t>
      </w:r>
      <w:r>
        <w:rPr>
          <w:b/>
          <w:lang w:val="en-AU" w:eastAsia="en-GB" w:bidi="ar-SA"/>
        </w:rPr>
        <w:tab/>
        <w:t>Documents incorporated by reference</w:t>
      </w:r>
    </w:p>
    <w:p w:rsidR="00E1348F" w:rsidRDefault="00E1348F" w:rsidP="00E1348F">
      <w:pPr>
        <w:rPr>
          <w:lang w:val="en-AU" w:eastAsia="en-GB" w:bidi="ar-SA"/>
        </w:rPr>
      </w:pPr>
    </w:p>
    <w:p w:rsidR="00E1348F" w:rsidRDefault="00E1348F" w:rsidP="00E1348F">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rsidR="00E1348F" w:rsidRDefault="00E1348F" w:rsidP="00E1348F">
      <w:pPr>
        <w:rPr>
          <w:lang w:val="en-AU" w:eastAsia="en-GB" w:bidi="ar-SA"/>
        </w:rPr>
      </w:pPr>
    </w:p>
    <w:p w:rsidR="00E1348F" w:rsidRDefault="00E1348F" w:rsidP="00E1348F">
      <w:pPr>
        <w:rPr>
          <w:b/>
          <w:lang w:val="en-AU" w:eastAsia="en-GB" w:bidi="ar-SA"/>
        </w:rPr>
      </w:pPr>
      <w:r>
        <w:rPr>
          <w:b/>
          <w:lang w:val="en-AU" w:eastAsia="en-GB" w:bidi="ar-SA"/>
        </w:rPr>
        <w:t>4.</w:t>
      </w:r>
      <w:r>
        <w:rPr>
          <w:b/>
          <w:lang w:val="en-AU" w:eastAsia="en-GB" w:bidi="ar-SA"/>
        </w:rPr>
        <w:tab/>
        <w:t>Consultation</w:t>
      </w:r>
    </w:p>
    <w:p w:rsidR="00E1348F" w:rsidRDefault="00E1348F" w:rsidP="00E1348F">
      <w:pPr>
        <w:rPr>
          <w:lang w:val="en-AU" w:eastAsia="en-GB" w:bidi="ar-SA"/>
        </w:rPr>
      </w:pPr>
    </w:p>
    <w:p w:rsidR="00E1348F" w:rsidRDefault="00E1348F" w:rsidP="00E1348F">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A1101 will include one round of public consultation following an assessment and the pre</w:t>
      </w:r>
      <w:r w:rsidR="00713B5C">
        <w:rPr>
          <w:szCs w:val="22"/>
        </w:rPr>
        <w:t xml:space="preserve">paration of a draft Standard, </w:t>
      </w:r>
      <w:r>
        <w:rPr>
          <w:szCs w:val="22"/>
        </w:rPr>
        <w:t>draft consequential variation</w:t>
      </w:r>
      <w:r w:rsidR="00713B5C">
        <w:rPr>
          <w:szCs w:val="22"/>
        </w:rPr>
        <w:t>s</w:t>
      </w:r>
      <w:r>
        <w:rPr>
          <w:szCs w:val="22"/>
        </w:rPr>
        <w:t xml:space="preserve"> and associated report</w:t>
      </w:r>
      <w:r>
        <w:rPr>
          <w:color w:val="FF0000"/>
          <w:szCs w:val="22"/>
        </w:rPr>
        <w:t>.</w:t>
      </w:r>
    </w:p>
    <w:p w:rsidR="00E1348F" w:rsidRDefault="00E1348F" w:rsidP="00E1348F">
      <w:pPr>
        <w:rPr>
          <w:rFonts w:eastAsia="Calibri"/>
          <w:lang w:val="en-AU" w:bidi="ar-SA"/>
        </w:rPr>
      </w:pPr>
    </w:p>
    <w:p w:rsidR="00E1348F" w:rsidRDefault="00E1348F" w:rsidP="00E1348F">
      <w:pPr>
        <w:widowControl/>
        <w:autoSpaceDE w:val="0"/>
        <w:autoSpaceDN w:val="0"/>
        <w:adjustRightInd w:val="0"/>
      </w:pPr>
      <w:r>
        <w:rPr>
          <w:rFonts w:eastAsia="Calibri" w:cs="Arial"/>
          <w:bCs/>
          <w:szCs w:val="22"/>
          <w:lang w:val="en-AU" w:bidi="ar-SA"/>
        </w:rPr>
        <w:t>A Regulation Impact Statement was not required because the draft variation to the Code is</w:t>
      </w:r>
      <w:r>
        <w:t xml:space="preserve"> likely to have a minor impact on business and individuals (OBPR ID: 17599). </w:t>
      </w:r>
    </w:p>
    <w:p w:rsidR="00E1348F" w:rsidRDefault="00E1348F" w:rsidP="00E1348F">
      <w:pPr>
        <w:widowControl/>
        <w:rPr>
          <w:rFonts w:eastAsiaTheme="minorHAnsi" w:cs="Arial"/>
          <w:b/>
          <w:bCs/>
          <w:szCs w:val="22"/>
          <w:lang w:val="en-AU" w:bidi="ar-SA"/>
        </w:rPr>
      </w:pPr>
    </w:p>
    <w:p w:rsidR="00E1348F" w:rsidRDefault="00E1348F" w:rsidP="00E1348F">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E1348F" w:rsidRDefault="00E1348F" w:rsidP="00E1348F">
      <w:pPr>
        <w:rPr>
          <w:rFonts w:eastAsiaTheme="minorHAnsi"/>
          <w:lang w:val="en-AU" w:bidi="ar-SA"/>
        </w:rPr>
      </w:pPr>
    </w:p>
    <w:p w:rsidR="00E1348F" w:rsidRDefault="00E1348F" w:rsidP="00E1348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E1348F" w:rsidRDefault="00E1348F" w:rsidP="00E1348F">
      <w:pPr>
        <w:rPr>
          <w:rFonts w:eastAsiaTheme="minorHAnsi"/>
          <w:lang w:val="en-AU" w:bidi="ar-SA"/>
        </w:rPr>
      </w:pPr>
    </w:p>
    <w:p w:rsidR="004211BC" w:rsidRDefault="004211BC">
      <w:pPr>
        <w:widowControl/>
        <w:rPr>
          <w:b/>
        </w:rPr>
      </w:pPr>
      <w:r>
        <w:rPr>
          <w:b/>
        </w:rPr>
        <w:br w:type="page"/>
      </w:r>
    </w:p>
    <w:p w:rsidR="00D22676" w:rsidRDefault="00D22676" w:rsidP="00D22676">
      <w:pPr>
        <w:rPr>
          <w:b/>
          <w:lang w:val="en-AU" w:eastAsia="en-GB" w:bidi="ar-SA"/>
        </w:rPr>
      </w:pPr>
      <w:r>
        <w:rPr>
          <w:b/>
        </w:rPr>
        <w:lastRenderedPageBreak/>
        <w:t>6.</w:t>
      </w:r>
      <w:r>
        <w:rPr>
          <w:b/>
        </w:rPr>
        <w:tab/>
      </w:r>
      <w:r>
        <w:rPr>
          <w:b/>
          <w:lang w:val="en-AU" w:eastAsia="en-GB" w:bidi="ar-SA"/>
        </w:rPr>
        <w:t>Variation</w:t>
      </w:r>
    </w:p>
    <w:p w:rsidR="00D22676" w:rsidRDefault="00D22676" w:rsidP="00D22676">
      <w:pPr>
        <w:rPr>
          <w:bCs/>
          <w:szCs w:val="22"/>
        </w:rPr>
      </w:pPr>
    </w:p>
    <w:p w:rsidR="00784C49" w:rsidRDefault="00784C49" w:rsidP="00D22676">
      <w:pPr>
        <w:rPr>
          <w:bCs/>
          <w:szCs w:val="22"/>
        </w:rPr>
      </w:pPr>
      <w:r>
        <w:rPr>
          <w:bCs/>
          <w:szCs w:val="22"/>
        </w:rPr>
        <w:t xml:space="preserve">Section 1 provides the name of the </w:t>
      </w:r>
      <w:r w:rsidR="00B10763">
        <w:rPr>
          <w:bCs/>
          <w:szCs w:val="22"/>
        </w:rPr>
        <w:t>V</w:t>
      </w:r>
      <w:r>
        <w:rPr>
          <w:bCs/>
          <w:szCs w:val="22"/>
        </w:rPr>
        <w:t>ariation.</w:t>
      </w:r>
    </w:p>
    <w:p w:rsidR="00784C49" w:rsidRDefault="00784C49" w:rsidP="00D22676">
      <w:pPr>
        <w:rPr>
          <w:bCs/>
          <w:szCs w:val="22"/>
        </w:rPr>
      </w:pPr>
    </w:p>
    <w:p w:rsidR="00784C49" w:rsidRDefault="00784C49" w:rsidP="00D22676">
      <w:pPr>
        <w:rPr>
          <w:bCs/>
          <w:szCs w:val="22"/>
        </w:rPr>
      </w:pPr>
      <w:r>
        <w:rPr>
          <w:bCs/>
          <w:szCs w:val="22"/>
        </w:rPr>
        <w:t xml:space="preserve">Section 2 provides that the </w:t>
      </w:r>
      <w:r w:rsidR="00B10763">
        <w:rPr>
          <w:bCs/>
          <w:szCs w:val="22"/>
        </w:rPr>
        <w:t>V</w:t>
      </w:r>
      <w:r>
        <w:rPr>
          <w:bCs/>
          <w:szCs w:val="22"/>
        </w:rPr>
        <w:t>ariation commences on 1 March 2016</w:t>
      </w:r>
      <w:r w:rsidR="005C0511">
        <w:rPr>
          <w:bCs/>
          <w:szCs w:val="22"/>
        </w:rPr>
        <w:t xml:space="preserve"> immediately after the commencement </w:t>
      </w:r>
      <w:r w:rsidR="00B97AD7">
        <w:rPr>
          <w:bCs/>
          <w:szCs w:val="22"/>
        </w:rPr>
        <w:t xml:space="preserve">on that date </w:t>
      </w:r>
      <w:r w:rsidR="005C0511">
        <w:rPr>
          <w:bCs/>
          <w:szCs w:val="22"/>
        </w:rPr>
        <w:t>of Standard 5.1.1 – Revocation and transitional provisions – 2014 Revision</w:t>
      </w:r>
      <w:r>
        <w:rPr>
          <w:bCs/>
          <w:szCs w:val="22"/>
        </w:rPr>
        <w:t>.</w:t>
      </w:r>
    </w:p>
    <w:p w:rsidR="00784C49" w:rsidRDefault="00784C49" w:rsidP="00D22676">
      <w:pPr>
        <w:rPr>
          <w:bCs/>
          <w:szCs w:val="22"/>
        </w:rPr>
      </w:pPr>
    </w:p>
    <w:p w:rsidR="00784C49" w:rsidRDefault="00784C49" w:rsidP="00D22676">
      <w:pPr>
        <w:rPr>
          <w:bCs/>
          <w:szCs w:val="22"/>
        </w:rPr>
      </w:pPr>
      <w:r>
        <w:rPr>
          <w:bCs/>
          <w:szCs w:val="22"/>
        </w:rPr>
        <w:t>Section 3 provides that Standard 1.1.1 is varied in acc</w:t>
      </w:r>
      <w:r w:rsidR="00B10763">
        <w:rPr>
          <w:bCs/>
          <w:szCs w:val="22"/>
        </w:rPr>
        <w:t>ordance with Schedule 1 of the V</w:t>
      </w:r>
      <w:r>
        <w:rPr>
          <w:bCs/>
          <w:szCs w:val="22"/>
        </w:rPr>
        <w:t xml:space="preserve">ariation.  </w:t>
      </w:r>
    </w:p>
    <w:p w:rsidR="00784C49" w:rsidRDefault="00784C49" w:rsidP="00D22676">
      <w:pPr>
        <w:rPr>
          <w:bCs/>
          <w:szCs w:val="22"/>
        </w:rPr>
      </w:pPr>
    </w:p>
    <w:p w:rsidR="00784C49" w:rsidRDefault="00784C49" w:rsidP="00D22676">
      <w:pPr>
        <w:rPr>
          <w:bCs/>
          <w:szCs w:val="22"/>
        </w:rPr>
      </w:pPr>
      <w:r>
        <w:rPr>
          <w:bCs/>
          <w:szCs w:val="22"/>
        </w:rPr>
        <w:t>Section 4 provides that Standard 1.2.7 is varied in accordance with Schedule 2</w:t>
      </w:r>
      <w:r w:rsidR="00B10763">
        <w:rPr>
          <w:bCs/>
          <w:szCs w:val="22"/>
        </w:rPr>
        <w:t xml:space="preserve"> of the V</w:t>
      </w:r>
      <w:r>
        <w:rPr>
          <w:bCs/>
          <w:szCs w:val="22"/>
        </w:rPr>
        <w:t xml:space="preserve">ariation </w:t>
      </w:r>
    </w:p>
    <w:p w:rsidR="00784C49" w:rsidRDefault="00784C49" w:rsidP="00D22676">
      <w:pPr>
        <w:rPr>
          <w:bCs/>
          <w:szCs w:val="22"/>
        </w:rPr>
      </w:pPr>
    </w:p>
    <w:p w:rsidR="00784C49" w:rsidRDefault="00784C49" w:rsidP="00D22676">
      <w:pPr>
        <w:rPr>
          <w:bCs/>
          <w:szCs w:val="22"/>
        </w:rPr>
      </w:pPr>
      <w:r>
        <w:rPr>
          <w:bCs/>
          <w:szCs w:val="22"/>
        </w:rPr>
        <w:t>Section 5 provides that Standard 5.1.1 is varied in accordance with Schedule 3</w:t>
      </w:r>
      <w:r w:rsidR="00B10763">
        <w:rPr>
          <w:bCs/>
          <w:szCs w:val="22"/>
        </w:rPr>
        <w:t xml:space="preserve"> of the V</w:t>
      </w:r>
      <w:r>
        <w:rPr>
          <w:bCs/>
          <w:szCs w:val="22"/>
        </w:rPr>
        <w:t xml:space="preserve">ariation </w:t>
      </w:r>
    </w:p>
    <w:p w:rsidR="00784C49" w:rsidRDefault="00784C49" w:rsidP="00D22676">
      <w:pPr>
        <w:rPr>
          <w:bCs/>
          <w:szCs w:val="22"/>
        </w:rPr>
      </w:pPr>
    </w:p>
    <w:p w:rsidR="00D22676" w:rsidRDefault="00784C49" w:rsidP="00D22676">
      <w:pPr>
        <w:rPr>
          <w:bCs/>
          <w:szCs w:val="22"/>
        </w:rPr>
      </w:pPr>
      <w:r>
        <w:rPr>
          <w:bCs/>
          <w:szCs w:val="22"/>
        </w:rPr>
        <w:t>I</w:t>
      </w:r>
      <w:r w:rsidR="00B10763">
        <w:rPr>
          <w:bCs/>
          <w:szCs w:val="22"/>
        </w:rPr>
        <w:t>tem 1 of Schedule 1 of the V</w:t>
      </w:r>
      <w:r>
        <w:rPr>
          <w:bCs/>
          <w:szCs w:val="22"/>
        </w:rPr>
        <w:t>ariation amends subsection 1.1.</w:t>
      </w:r>
      <w:r w:rsidR="00B10763">
        <w:rPr>
          <w:bCs/>
          <w:szCs w:val="22"/>
        </w:rPr>
        <w:t>1</w:t>
      </w:r>
      <w:r w:rsidR="00B10763" w:rsidRPr="00AE57E1">
        <w:rPr>
          <w:rFonts w:cs="Arial"/>
        </w:rPr>
        <w:t>—</w:t>
      </w:r>
      <w:r>
        <w:rPr>
          <w:bCs/>
          <w:szCs w:val="22"/>
        </w:rPr>
        <w:t xml:space="preserve">2(2) </w:t>
      </w:r>
      <w:r w:rsidR="00B10763">
        <w:rPr>
          <w:bCs/>
          <w:szCs w:val="22"/>
        </w:rPr>
        <w:t xml:space="preserve">by inserting </w:t>
      </w:r>
      <w:r>
        <w:rPr>
          <w:bCs/>
          <w:szCs w:val="22"/>
        </w:rPr>
        <w:t xml:space="preserve">into that subsection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1.2.12</w:t>
      </w:r>
      <w:r w:rsidR="00D22676">
        <w:t>.</w:t>
      </w:r>
      <w:r>
        <w:t xml:space="preserve"> Sub</w:t>
      </w:r>
      <w:r>
        <w:rPr>
          <w:bCs/>
          <w:szCs w:val="22"/>
        </w:rPr>
        <w:t>section 1.1.</w:t>
      </w:r>
      <w:r w:rsidR="00B10763">
        <w:rPr>
          <w:bCs/>
          <w:szCs w:val="22"/>
        </w:rPr>
        <w:t>1</w:t>
      </w:r>
      <w:r w:rsidR="00B10763" w:rsidRPr="00AE57E1">
        <w:rPr>
          <w:rFonts w:cs="Arial"/>
        </w:rPr>
        <w:t>—</w:t>
      </w:r>
      <w:r>
        <w:rPr>
          <w:bCs/>
          <w:szCs w:val="22"/>
        </w:rPr>
        <w:t xml:space="preserve">2(2) </w:t>
      </w:r>
      <w:proofErr w:type="gramStart"/>
      <w:r>
        <w:rPr>
          <w:bCs/>
          <w:szCs w:val="22"/>
        </w:rPr>
        <w:t>sets</w:t>
      </w:r>
      <w:proofErr w:type="gramEnd"/>
      <w:r>
        <w:rPr>
          <w:bCs/>
          <w:szCs w:val="22"/>
        </w:rPr>
        <w:t xml:space="preserve"> out the structure of the Code.</w:t>
      </w:r>
    </w:p>
    <w:p w:rsidR="00D22676" w:rsidRDefault="00D22676" w:rsidP="00D22676">
      <w:pPr>
        <w:rPr>
          <w:bCs/>
          <w:szCs w:val="22"/>
        </w:rPr>
      </w:pPr>
    </w:p>
    <w:p w:rsidR="00D22676" w:rsidRDefault="00784C49" w:rsidP="00D22676">
      <w:pPr>
        <w:rPr>
          <w:bCs/>
          <w:szCs w:val="22"/>
        </w:rPr>
      </w:pPr>
      <w:r>
        <w:rPr>
          <w:bCs/>
          <w:szCs w:val="22"/>
        </w:rPr>
        <w:t>Item 1 of Schedule 2</w:t>
      </w:r>
      <w:r w:rsidR="00B10763">
        <w:rPr>
          <w:bCs/>
          <w:szCs w:val="22"/>
        </w:rPr>
        <w:t xml:space="preserve"> of the V</w:t>
      </w:r>
      <w:r>
        <w:rPr>
          <w:bCs/>
          <w:szCs w:val="22"/>
        </w:rPr>
        <w:t>ariation amends Standard 1.2.7 by inserting a new Note after subsection 1.</w:t>
      </w:r>
      <w:r w:rsidR="00B10763">
        <w:rPr>
          <w:bCs/>
          <w:szCs w:val="22"/>
        </w:rPr>
        <w:t>2.7</w:t>
      </w:r>
      <w:r w:rsidR="00B10763" w:rsidRPr="00AE57E1">
        <w:rPr>
          <w:rFonts w:cs="Arial"/>
        </w:rPr>
        <w:t>—</w:t>
      </w:r>
      <w:r>
        <w:rPr>
          <w:bCs/>
          <w:szCs w:val="22"/>
        </w:rPr>
        <w:t xml:space="preserve">12. The Note is to explain the transitional arrangement established by Standard 1.2.12 </w:t>
      </w:r>
      <w:r w:rsidR="00D22676">
        <w:rPr>
          <w:bCs/>
          <w:szCs w:val="22"/>
        </w:rPr>
        <w:t xml:space="preserve">for </w:t>
      </w:r>
      <w:r w:rsidR="00D22676">
        <w:rPr>
          <w:szCs w:val="22"/>
        </w:rPr>
        <w:t>claims about the presence or absence of dietary fibre in a food</w:t>
      </w:r>
      <w:r w:rsidR="00D22676">
        <w:rPr>
          <w:bCs/>
          <w:szCs w:val="22"/>
        </w:rPr>
        <w:t xml:space="preserve">.  </w:t>
      </w:r>
    </w:p>
    <w:p w:rsidR="00D22676" w:rsidRDefault="00D22676" w:rsidP="00D22676">
      <w:pPr>
        <w:rPr>
          <w:bCs/>
          <w:szCs w:val="22"/>
        </w:rPr>
      </w:pPr>
    </w:p>
    <w:p w:rsidR="00D22676" w:rsidRDefault="00B10763" w:rsidP="00D22676">
      <w:pPr>
        <w:rPr>
          <w:bCs/>
          <w:szCs w:val="22"/>
        </w:rPr>
      </w:pPr>
      <w:r>
        <w:rPr>
          <w:bCs/>
          <w:szCs w:val="22"/>
        </w:rPr>
        <w:t>Item 1 of Schedule 3 of the Variation amends section 5.1.1</w:t>
      </w:r>
      <w:r w:rsidRPr="00AE57E1">
        <w:rPr>
          <w:rFonts w:cs="Arial"/>
        </w:rPr>
        <w:t>—</w:t>
      </w:r>
      <w:r>
        <w:rPr>
          <w:bCs/>
          <w:szCs w:val="22"/>
        </w:rPr>
        <w:t xml:space="preserve">2 by inserting into that 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w:t>
      </w:r>
      <w:r w:rsidR="00D22676">
        <w:rPr>
          <w:bCs/>
          <w:szCs w:val="22"/>
        </w:rPr>
        <w:t xml:space="preserve">. </w:t>
      </w:r>
      <w:r>
        <w:rPr>
          <w:bCs/>
          <w:szCs w:val="22"/>
        </w:rPr>
        <w:t xml:space="preserve">This will mean that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 will be revoked on 1 March 2016.</w:t>
      </w:r>
    </w:p>
    <w:p w:rsidR="00D22676" w:rsidRDefault="00D22676" w:rsidP="00D22676">
      <w:pPr>
        <w:rPr>
          <w:bCs/>
          <w:szCs w:val="22"/>
        </w:rPr>
      </w:pPr>
    </w:p>
    <w:p w:rsidR="0091303F" w:rsidRPr="005F2BCC" w:rsidRDefault="0091303F" w:rsidP="00B10763"/>
    <w:sectPr w:rsidR="0091303F" w:rsidRPr="005F2BCC" w:rsidSect="00FA2C60">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FC" w:rsidRDefault="00343EFC">
      <w:r>
        <w:separator/>
      </w:r>
    </w:p>
  </w:endnote>
  <w:endnote w:type="continuationSeparator" w:id="0">
    <w:p w:rsidR="00343EFC" w:rsidRDefault="0034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FC" w:rsidRDefault="00343EF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3EFC" w:rsidRDefault="0034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FC" w:rsidRDefault="00343EF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439D">
      <w:rPr>
        <w:rStyle w:val="PageNumber"/>
        <w:noProof/>
      </w:rPr>
      <w:t>i</w:t>
    </w:r>
    <w:r>
      <w:rPr>
        <w:rStyle w:val="PageNumber"/>
      </w:rPr>
      <w:fldChar w:fldCharType="end"/>
    </w:r>
  </w:p>
  <w:p w:rsidR="00343EFC" w:rsidRDefault="00343EF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10" w:rsidRDefault="009B0710">
    <w:pPr>
      <w:pStyle w:val="Footer"/>
      <w:jc w:val="center"/>
    </w:pPr>
  </w:p>
  <w:p w:rsidR="00343EFC" w:rsidRDefault="00343EFC" w:rsidP="001048B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57893"/>
      <w:docPartObj>
        <w:docPartGallery w:val="Page Numbers (Bottom of Page)"/>
        <w:docPartUnique/>
      </w:docPartObj>
    </w:sdtPr>
    <w:sdtEndPr>
      <w:rPr>
        <w:noProof/>
      </w:rPr>
    </w:sdtEndPr>
    <w:sdtContent>
      <w:p w:rsidR="009B0710" w:rsidRDefault="009B0710">
        <w:pPr>
          <w:pStyle w:val="Footer"/>
          <w:jc w:val="center"/>
        </w:pPr>
        <w:r>
          <w:fldChar w:fldCharType="begin"/>
        </w:r>
        <w:r>
          <w:instrText xml:space="preserve"> PAGE   \* MERGEFORMAT </w:instrText>
        </w:r>
        <w:r>
          <w:fldChar w:fldCharType="separate"/>
        </w:r>
        <w:r w:rsidR="0052439D">
          <w:rPr>
            <w:noProof/>
          </w:rPr>
          <w:t>8</w:t>
        </w:r>
        <w:r>
          <w:rPr>
            <w:noProof/>
          </w:rPr>
          <w:fldChar w:fldCharType="end"/>
        </w:r>
      </w:p>
    </w:sdtContent>
  </w:sdt>
  <w:p w:rsidR="009B0710" w:rsidRDefault="009B0710" w:rsidP="001048B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92466"/>
      <w:docPartObj>
        <w:docPartGallery w:val="Page Numbers (Bottom of Page)"/>
        <w:docPartUnique/>
      </w:docPartObj>
    </w:sdtPr>
    <w:sdtEndPr>
      <w:rPr>
        <w:noProof/>
      </w:rPr>
    </w:sdtEndPr>
    <w:sdtContent>
      <w:p w:rsidR="00343EFC" w:rsidRDefault="00343EFC" w:rsidP="00FA2C60">
        <w:pPr>
          <w:pStyle w:val="Footer"/>
          <w:jc w:val="center"/>
        </w:pPr>
        <w:r>
          <w:fldChar w:fldCharType="begin"/>
        </w:r>
        <w:r>
          <w:instrText xml:space="preserve"> PAGE   \* MERGEFORMAT </w:instrText>
        </w:r>
        <w:r>
          <w:fldChar w:fldCharType="separate"/>
        </w:r>
        <w:r w:rsidR="0052439D">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FC" w:rsidRDefault="00343EFC">
      <w:r>
        <w:separator/>
      </w:r>
    </w:p>
  </w:footnote>
  <w:footnote w:type="continuationSeparator" w:id="0">
    <w:p w:rsidR="00343EFC" w:rsidRDefault="00343EFC">
      <w:r>
        <w:continuationSeparator/>
      </w:r>
    </w:p>
  </w:footnote>
  <w:footnote w:id="1">
    <w:p w:rsidR="00343EFC" w:rsidRPr="00874B43" w:rsidRDefault="00343EFC" w:rsidP="00874B43">
      <w:pPr>
        <w:pStyle w:val="FootnoteText"/>
        <w:rPr>
          <w:lang w:val="en-AU"/>
        </w:rPr>
      </w:pPr>
      <w:r>
        <w:rPr>
          <w:rStyle w:val="FootnoteReference"/>
        </w:rPr>
        <w:footnoteRef/>
      </w:r>
      <w:r>
        <w:t xml:space="preserve"> </w:t>
      </w:r>
      <w:r w:rsidRPr="00874B43">
        <w:rPr>
          <w:sz w:val="18"/>
          <w:szCs w:val="18"/>
          <w:lang w:val="en-AU"/>
        </w:rPr>
        <w:t xml:space="preserve">For the purposes of this report </w:t>
      </w:r>
      <w:r>
        <w:rPr>
          <w:sz w:val="18"/>
          <w:szCs w:val="18"/>
        </w:rPr>
        <w:t xml:space="preserve">report the term </w:t>
      </w:r>
      <w:r w:rsidRPr="00AA3440">
        <w:rPr>
          <w:i/>
          <w:sz w:val="18"/>
          <w:szCs w:val="18"/>
        </w:rPr>
        <w:t>qualifying criteria for nutrition content claims about dietary fibre</w:t>
      </w:r>
      <w:r w:rsidRPr="00874B43">
        <w:rPr>
          <w:sz w:val="18"/>
          <w:szCs w:val="18"/>
        </w:rPr>
        <w:t xml:space="preserve"> refers to the minimum amount of dietary fibre required in food carrying </w:t>
      </w:r>
      <w:r w:rsidRPr="00874B43">
        <w:rPr>
          <w:i/>
          <w:sz w:val="18"/>
          <w:szCs w:val="18"/>
        </w:rPr>
        <w:t>source</w:t>
      </w:r>
      <w:r>
        <w:rPr>
          <w:sz w:val="18"/>
          <w:szCs w:val="18"/>
        </w:rPr>
        <w:t xml:space="preserve">, </w:t>
      </w:r>
      <w:r w:rsidRPr="00874B43">
        <w:rPr>
          <w:i/>
          <w:sz w:val="18"/>
          <w:szCs w:val="18"/>
        </w:rPr>
        <w:t>good source</w:t>
      </w:r>
      <w:r>
        <w:rPr>
          <w:sz w:val="18"/>
          <w:szCs w:val="18"/>
        </w:rPr>
        <w:t xml:space="preserve">, </w:t>
      </w:r>
      <w:r w:rsidRPr="00AA3440">
        <w:rPr>
          <w:i/>
          <w:sz w:val="18"/>
          <w:szCs w:val="18"/>
        </w:rPr>
        <w:t>excellent source</w:t>
      </w:r>
      <w:r w:rsidRPr="00874B43">
        <w:rPr>
          <w:sz w:val="18"/>
          <w:szCs w:val="18"/>
        </w:rPr>
        <w:t xml:space="preserve"> (or synonyms), and </w:t>
      </w:r>
      <w:r w:rsidRPr="009D716F">
        <w:rPr>
          <w:i/>
          <w:sz w:val="18"/>
          <w:szCs w:val="18"/>
        </w:rPr>
        <w:t>increased</w:t>
      </w:r>
      <w:r w:rsidRPr="00874B43">
        <w:rPr>
          <w:sz w:val="18"/>
          <w:szCs w:val="18"/>
        </w:rPr>
        <w:t xml:space="preserve"> claims (</w:t>
      </w:r>
      <w:r>
        <w:rPr>
          <w:sz w:val="18"/>
          <w:szCs w:val="18"/>
        </w:rPr>
        <w:t xml:space="preserve">in relation to the amount of </w:t>
      </w:r>
      <w:r w:rsidRPr="00874B43">
        <w:rPr>
          <w:sz w:val="18"/>
          <w:szCs w:val="18"/>
        </w:rPr>
        <w:t>dietary fibre</w:t>
      </w:r>
      <w:r>
        <w:rPr>
          <w:sz w:val="18"/>
          <w:szCs w:val="18"/>
        </w:rPr>
        <w:t xml:space="preserve"> in the reference food</w:t>
      </w:r>
      <w:r w:rsidRPr="00874B43">
        <w:rPr>
          <w:sz w:val="18"/>
          <w:szCs w:val="18"/>
        </w:rPr>
        <w:t>).</w:t>
      </w:r>
    </w:p>
  </w:footnote>
  <w:footnote w:id="2">
    <w:p w:rsidR="00343EFC" w:rsidRPr="00E83236" w:rsidRDefault="00343EFC" w:rsidP="00E87C99">
      <w:pPr>
        <w:pStyle w:val="FootnoteText"/>
        <w:ind w:right="-330"/>
        <w:rPr>
          <w:sz w:val="18"/>
          <w:szCs w:val="18"/>
          <w:lang w:val="en-NZ"/>
        </w:rPr>
      </w:pPr>
      <w:r w:rsidRPr="00E83236">
        <w:rPr>
          <w:rStyle w:val="FootnoteReference"/>
          <w:sz w:val="18"/>
          <w:szCs w:val="18"/>
        </w:rPr>
        <w:footnoteRef/>
      </w:r>
      <w:r w:rsidRPr="00E83236">
        <w:rPr>
          <w:sz w:val="18"/>
          <w:szCs w:val="18"/>
        </w:rPr>
        <w:t xml:space="preserve"> Reports prepared for Proposal P293 are available at </w:t>
      </w:r>
      <w:hyperlink r:id="rId1" w:history="1">
        <w:r w:rsidRPr="00AE57E1">
          <w:rPr>
            <w:rStyle w:val="Hyperlink"/>
            <w:sz w:val="18"/>
            <w:szCs w:val="18"/>
          </w:rPr>
          <w:t>http://www.foodstandards.gov.au/code/proposals/Pages/proposalp293nutritionhealthandrelatedclaims/Default.aspx</w:t>
        </w:r>
      </w:hyperlink>
      <w:r w:rsidRPr="00E83236">
        <w:rPr>
          <w:sz w:val="18"/>
          <w:szCs w:val="18"/>
        </w:rPr>
        <w:t xml:space="preserve"> </w:t>
      </w:r>
    </w:p>
  </w:footnote>
  <w:footnote w:id="3">
    <w:p w:rsidR="00343EFC" w:rsidRPr="00EC767F" w:rsidRDefault="00343EFC" w:rsidP="00F14323">
      <w:pPr>
        <w:pStyle w:val="FootnoteText"/>
        <w:rPr>
          <w:sz w:val="18"/>
          <w:szCs w:val="18"/>
          <w:lang w:val="en-NZ"/>
        </w:rPr>
      </w:pPr>
      <w:r w:rsidRPr="00EC767F">
        <w:rPr>
          <w:rStyle w:val="FootnoteReference"/>
          <w:sz w:val="18"/>
          <w:szCs w:val="18"/>
        </w:rPr>
        <w:footnoteRef/>
      </w:r>
      <w:r w:rsidRPr="00EC767F">
        <w:rPr>
          <w:sz w:val="18"/>
          <w:szCs w:val="18"/>
        </w:rPr>
        <w:t xml:space="preserve"> The consultation paper and final report are available at </w:t>
      </w:r>
      <w:hyperlink r:id="rId2" w:history="1">
        <w:r w:rsidRPr="00EC767F">
          <w:rPr>
            <w:rStyle w:val="Hyperlink"/>
            <w:sz w:val="18"/>
            <w:szCs w:val="18"/>
          </w:rPr>
          <w:t>http://www.foodstandards.gov.au/industry/labelling/Pages/Qualifying-criteria-for-nutrition-content-claims-about-dietary-fibre.aspx</w:t>
        </w:r>
      </w:hyperlink>
      <w:r w:rsidRPr="00EC767F">
        <w:rPr>
          <w:sz w:val="18"/>
          <w:szCs w:val="18"/>
        </w:rPr>
        <w:t xml:space="preserve"> </w:t>
      </w:r>
    </w:p>
  </w:footnote>
  <w:footnote w:id="4">
    <w:p w:rsidR="00343EFC" w:rsidRPr="00EC767F" w:rsidRDefault="00343EFC">
      <w:pPr>
        <w:pStyle w:val="FootnoteText"/>
        <w:rPr>
          <w:lang w:val="en-AU"/>
        </w:rPr>
      </w:pPr>
      <w:r w:rsidRPr="00EC767F">
        <w:rPr>
          <w:rStyle w:val="FootnoteReference"/>
          <w:sz w:val="18"/>
          <w:szCs w:val="18"/>
        </w:rPr>
        <w:footnoteRef/>
      </w:r>
      <w:r w:rsidRPr="00EC767F">
        <w:rPr>
          <w:sz w:val="18"/>
          <w:szCs w:val="18"/>
        </w:rPr>
        <w:t xml:space="preserve"> </w:t>
      </w:r>
      <w:r w:rsidRPr="00EC767F">
        <w:rPr>
          <w:sz w:val="18"/>
          <w:szCs w:val="18"/>
          <w:lang w:val="en-AU"/>
        </w:rPr>
        <w:t xml:space="preserve">Submissions can be viewed at </w:t>
      </w:r>
      <w:hyperlink r:id="rId3" w:history="1">
        <w:r w:rsidRPr="00EC767F">
          <w:rPr>
            <w:rStyle w:val="Hyperlink"/>
            <w:sz w:val="18"/>
            <w:szCs w:val="18"/>
            <w:lang w:val="en-AU"/>
          </w:rPr>
          <w:t>http://www.foodstandards.gov.au/code/applications/Pages/A1101-DietaryFibreClaimProvisions.aspx</w:t>
        </w:r>
      </w:hyperlink>
      <w:r>
        <w:rPr>
          <w:lang w:val="en-AU"/>
        </w:rPr>
        <w:t xml:space="preserve"> </w:t>
      </w:r>
    </w:p>
  </w:footnote>
  <w:footnote w:id="5">
    <w:p w:rsidR="00343EFC" w:rsidRPr="00B81481" w:rsidRDefault="00343EFC">
      <w:pPr>
        <w:pStyle w:val="FootnoteText"/>
        <w:rPr>
          <w:lang w:val="en-AU"/>
        </w:rPr>
      </w:pPr>
      <w:r>
        <w:rPr>
          <w:rStyle w:val="FootnoteReference"/>
        </w:rPr>
        <w:footnoteRef/>
      </w:r>
      <w:r>
        <w:t xml:space="preserve"> </w:t>
      </w:r>
      <w:r w:rsidRPr="00B81481">
        <w:rPr>
          <w:sz w:val="18"/>
          <w:szCs w:val="18"/>
          <w:lang w:val="en-AU"/>
        </w:rPr>
        <w:t xml:space="preserve">Refer to the updated 2012 </w:t>
      </w:r>
      <w:r>
        <w:rPr>
          <w:sz w:val="18"/>
          <w:szCs w:val="18"/>
          <w:lang w:val="en-AU"/>
        </w:rPr>
        <w:t>cost-</w:t>
      </w:r>
      <w:r w:rsidRPr="00B81481">
        <w:rPr>
          <w:sz w:val="18"/>
          <w:szCs w:val="18"/>
          <w:lang w:val="en-AU"/>
        </w:rPr>
        <w:t xml:space="preserve">benefit analysis (Attachment 6.2 to the Review Report) at </w:t>
      </w:r>
      <w:hyperlink r:id="rId4" w:history="1">
        <w:r w:rsidRPr="00B81481">
          <w:rPr>
            <w:rStyle w:val="Hyperlink"/>
            <w:sz w:val="18"/>
            <w:szCs w:val="18"/>
            <w:lang w:val="en-AU"/>
          </w:rPr>
          <w:t>http://www.foodstandards.gov.au/code/proposals/pages/proposalp293nutritionhealthandrelatedclaims/p293reviewreport.aspx</w:t>
        </w:r>
      </w:hyperlink>
    </w:p>
  </w:footnote>
  <w:footnote w:id="6">
    <w:p w:rsidR="00343EFC" w:rsidRPr="006C50BD" w:rsidRDefault="00343EFC" w:rsidP="006C50BD">
      <w:pPr>
        <w:pStyle w:val="FootnoteText"/>
      </w:pPr>
      <w:r>
        <w:rPr>
          <w:rStyle w:val="FootnoteReference"/>
        </w:rPr>
        <w:footnoteRef/>
      </w:r>
      <w:r>
        <w:t xml:space="preserve"> </w:t>
      </w:r>
      <w:r w:rsidRPr="006C50BD">
        <w:rPr>
          <w:sz w:val="18"/>
        </w:rPr>
        <w:t>SKU</w:t>
      </w:r>
      <w:r w:rsidRPr="00ED6D0A">
        <w:rPr>
          <w:sz w:val="18"/>
        </w:rPr>
        <w:t xml:space="preserve"> refers to a stock-keeping unit, a unique identifier for each distinct product that can be purchased in business.</w:t>
      </w:r>
    </w:p>
  </w:footnote>
  <w:footnote w:id="7">
    <w:p w:rsidR="00343EFC" w:rsidRPr="00D71312" w:rsidRDefault="00343EFC" w:rsidP="00141F11">
      <w:pPr>
        <w:pStyle w:val="FootnoteText"/>
        <w:rPr>
          <w:sz w:val="18"/>
          <w:szCs w:val="18"/>
          <w:lang w:val="en-AU"/>
        </w:rPr>
      </w:pPr>
      <w:r w:rsidRPr="00D71312">
        <w:rPr>
          <w:rStyle w:val="FootnoteReference"/>
          <w:sz w:val="18"/>
          <w:szCs w:val="18"/>
        </w:rPr>
        <w:footnoteRef/>
      </w:r>
      <w:r w:rsidRPr="00D71312">
        <w:rPr>
          <w:sz w:val="18"/>
          <w:szCs w:val="18"/>
        </w:rPr>
        <w:t xml:space="preserve"> </w:t>
      </w:r>
      <w:r w:rsidRPr="00D71312">
        <w:rPr>
          <w:sz w:val="18"/>
          <w:szCs w:val="18"/>
          <w:lang w:val="en-AU"/>
        </w:rPr>
        <w:t>Note that the current Code expires on 1 March 2016, when the revised Code developed under Proposal P1025 takes effect and Chapters 1 and 2 of the current Code are repealed. On that date, the transitional arrangements proposed under Application A1101 will be carried over into the revised Code and continue until and including 17 January 2017.</w:t>
      </w:r>
      <w:r>
        <w:rPr>
          <w:sz w:val="18"/>
          <w:szCs w:val="18"/>
          <w:lang w:val="en-AU"/>
        </w:rPr>
        <w:t xml:space="preserve"> See Attachment C.</w:t>
      </w:r>
    </w:p>
  </w:footnote>
  <w:footnote w:id="8">
    <w:p w:rsidR="00343EFC" w:rsidRPr="008828D9" w:rsidRDefault="00343EFC" w:rsidP="003D43F8">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9">
    <w:p w:rsidR="00343EFC" w:rsidRPr="005F33F3" w:rsidRDefault="00343EFC" w:rsidP="003D43F8">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5" w:history="1">
        <w:r w:rsidRPr="00641257">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FC" w:rsidRPr="006342E0" w:rsidRDefault="00343EFC" w:rsidP="006342E0">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FC" w:rsidRDefault="00343EFC">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FC" w:rsidRPr="00FA2C60" w:rsidRDefault="00343EFC" w:rsidP="00FA2C60">
    <w:pPr>
      <w:pStyle w:val="Header"/>
      <w:jc w:val="cent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769CA"/>
    <w:multiLevelType w:val="hybridMultilevel"/>
    <w:tmpl w:val="9BD261E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BDC264D"/>
    <w:multiLevelType w:val="hybridMultilevel"/>
    <w:tmpl w:val="0240CF06"/>
    <w:lvl w:ilvl="0" w:tplc="0C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0874EF0"/>
    <w:multiLevelType w:val="hybridMultilevel"/>
    <w:tmpl w:val="0644C25E"/>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BC1346"/>
    <w:multiLevelType w:val="hybridMultilevel"/>
    <w:tmpl w:val="EAB84196"/>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B2C1482"/>
    <w:multiLevelType w:val="hybridMultilevel"/>
    <w:tmpl w:val="7EAE397E"/>
    <w:lvl w:ilvl="0" w:tplc="FD368D3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C9510F"/>
    <w:multiLevelType w:val="hybridMultilevel"/>
    <w:tmpl w:val="08805C40"/>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71047FB5"/>
    <w:multiLevelType w:val="hybridMultilevel"/>
    <w:tmpl w:val="3B1C06DC"/>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1"/>
  </w:num>
  <w:num w:numId="3">
    <w:abstractNumId w:val="0"/>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6"/>
  </w:num>
  <w:num w:numId="9">
    <w:abstractNumId w:val="12"/>
  </w:num>
  <w:num w:numId="10">
    <w:abstractNumId w:val="10"/>
  </w:num>
  <w:num w:numId="11">
    <w:abstractNumId w:val="2"/>
  </w:num>
  <w:num w:numId="12">
    <w:abstractNumId w:val="14"/>
  </w:num>
  <w:num w:numId="13">
    <w:abstractNumId w:val="9"/>
  </w:num>
  <w:num w:numId="14">
    <w:abstractNumId w:val="3"/>
  </w:num>
  <w:num w:numId="15">
    <w:abstractNumId w:val="5"/>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3B10"/>
    <w:rsid w:val="00016CB6"/>
    <w:rsid w:val="000209E4"/>
    <w:rsid w:val="00022DBC"/>
    <w:rsid w:val="00023FE7"/>
    <w:rsid w:val="000263D8"/>
    <w:rsid w:val="000307C4"/>
    <w:rsid w:val="00033AB5"/>
    <w:rsid w:val="00034F87"/>
    <w:rsid w:val="00035FF3"/>
    <w:rsid w:val="000378A8"/>
    <w:rsid w:val="000427B2"/>
    <w:rsid w:val="000432DE"/>
    <w:rsid w:val="00045E51"/>
    <w:rsid w:val="00051021"/>
    <w:rsid w:val="00051BD7"/>
    <w:rsid w:val="00051ED9"/>
    <w:rsid w:val="00053D90"/>
    <w:rsid w:val="00054B28"/>
    <w:rsid w:val="00057181"/>
    <w:rsid w:val="00064B2D"/>
    <w:rsid w:val="00065F1F"/>
    <w:rsid w:val="00070D0A"/>
    <w:rsid w:val="00072F7E"/>
    <w:rsid w:val="0007466A"/>
    <w:rsid w:val="00076D33"/>
    <w:rsid w:val="000778D6"/>
    <w:rsid w:val="0008037E"/>
    <w:rsid w:val="000805D3"/>
    <w:rsid w:val="0008451B"/>
    <w:rsid w:val="00084545"/>
    <w:rsid w:val="00086045"/>
    <w:rsid w:val="000869AD"/>
    <w:rsid w:val="00090570"/>
    <w:rsid w:val="00091CC2"/>
    <w:rsid w:val="00093350"/>
    <w:rsid w:val="000A1902"/>
    <w:rsid w:val="000A27E9"/>
    <w:rsid w:val="000A28EE"/>
    <w:rsid w:val="000A3D8B"/>
    <w:rsid w:val="000A5DF8"/>
    <w:rsid w:val="000A62AA"/>
    <w:rsid w:val="000B528E"/>
    <w:rsid w:val="000B6AF2"/>
    <w:rsid w:val="000C5D9B"/>
    <w:rsid w:val="000D2782"/>
    <w:rsid w:val="000D295F"/>
    <w:rsid w:val="000D3B9C"/>
    <w:rsid w:val="000D4EFD"/>
    <w:rsid w:val="000D607F"/>
    <w:rsid w:val="000D6FD4"/>
    <w:rsid w:val="000D7630"/>
    <w:rsid w:val="000E0AE4"/>
    <w:rsid w:val="000E1B74"/>
    <w:rsid w:val="000E35D0"/>
    <w:rsid w:val="000E3DBC"/>
    <w:rsid w:val="000E4948"/>
    <w:rsid w:val="001048BF"/>
    <w:rsid w:val="00106596"/>
    <w:rsid w:val="00106D4A"/>
    <w:rsid w:val="00113CE3"/>
    <w:rsid w:val="001159E0"/>
    <w:rsid w:val="00117522"/>
    <w:rsid w:val="00117AB3"/>
    <w:rsid w:val="001349CA"/>
    <w:rsid w:val="00141F11"/>
    <w:rsid w:val="001542D8"/>
    <w:rsid w:val="001574E9"/>
    <w:rsid w:val="00161AC0"/>
    <w:rsid w:val="00167748"/>
    <w:rsid w:val="0017466D"/>
    <w:rsid w:val="00180589"/>
    <w:rsid w:val="00180C41"/>
    <w:rsid w:val="00182C4C"/>
    <w:rsid w:val="00187D0C"/>
    <w:rsid w:val="00192367"/>
    <w:rsid w:val="00192D9F"/>
    <w:rsid w:val="001943FB"/>
    <w:rsid w:val="00196896"/>
    <w:rsid w:val="00197D8D"/>
    <w:rsid w:val="001A17EB"/>
    <w:rsid w:val="001A1A75"/>
    <w:rsid w:val="001A7E9A"/>
    <w:rsid w:val="001B2AA9"/>
    <w:rsid w:val="001B2DB1"/>
    <w:rsid w:val="001B3E9C"/>
    <w:rsid w:val="001C18DB"/>
    <w:rsid w:val="001C27A3"/>
    <w:rsid w:val="001C282C"/>
    <w:rsid w:val="001C3D2F"/>
    <w:rsid w:val="001C5295"/>
    <w:rsid w:val="001D29FE"/>
    <w:rsid w:val="001E09FA"/>
    <w:rsid w:val="001E2E05"/>
    <w:rsid w:val="001E3CFC"/>
    <w:rsid w:val="001E5F21"/>
    <w:rsid w:val="001E6413"/>
    <w:rsid w:val="001F2785"/>
    <w:rsid w:val="001F5B9C"/>
    <w:rsid w:val="001F677B"/>
    <w:rsid w:val="001F74B2"/>
    <w:rsid w:val="002003F1"/>
    <w:rsid w:val="002018BE"/>
    <w:rsid w:val="00203540"/>
    <w:rsid w:val="002109C4"/>
    <w:rsid w:val="002152DC"/>
    <w:rsid w:val="00221D07"/>
    <w:rsid w:val="002246B5"/>
    <w:rsid w:val="00227E4A"/>
    <w:rsid w:val="00235CA4"/>
    <w:rsid w:val="00240A28"/>
    <w:rsid w:val="002432EE"/>
    <w:rsid w:val="0024582E"/>
    <w:rsid w:val="002542FF"/>
    <w:rsid w:val="002547EF"/>
    <w:rsid w:val="002557C3"/>
    <w:rsid w:val="00256D65"/>
    <w:rsid w:val="00257FF0"/>
    <w:rsid w:val="00271863"/>
    <w:rsid w:val="00271F00"/>
    <w:rsid w:val="00273A80"/>
    <w:rsid w:val="0027513D"/>
    <w:rsid w:val="00276026"/>
    <w:rsid w:val="002770E0"/>
    <w:rsid w:val="0028230B"/>
    <w:rsid w:val="002851C8"/>
    <w:rsid w:val="0028659F"/>
    <w:rsid w:val="00287752"/>
    <w:rsid w:val="002909DC"/>
    <w:rsid w:val="0029204E"/>
    <w:rsid w:val="00292560"/>
    <w:rsid w:val="00294BAD"/>
    <w:rsid w:val="0029631C"/>
    <w:rsid w:val="00296D3D"/>
    <w:rsid w:val="002A0194"/>
    <w:rsid w:val="002A3ED1"/>
    <w:rsid w:val="002A5F8B"/>
    <w:rsid w:val="002A7F6C"/>
    <w:rsid w:val="002B0D8E"/>
    <w:rsid w:val="002B2AC2"/>
    <w:rsid w:val="002B38CC"/>
    <w:rsid w:val="002B3EB0"/>
    <w:rsid w:val="002B49A1"/>
    <w:rsid w:val="002B6657"/>
    <w:rsid w:val="002C3A93"/>
    <w:rsid w:val="002C4FC1"/>
    <w:rsid w:val="002C5613"/>
    <w:rsid w:val="002D0911"/>
    <w:rsid w:val="002D0D2A"/>
    <w:rsid w:val="002D6809"/>
    <w:rsid w:val="002E05A7"/>
    <w:rsid w:val="002E086A"/>
    <w:rsid w:val="002E3277"/>
    <w:rsid w:val="002E3C78"/>
    <w:rsid w:val="002E4D73"/>
    <w:rsid w:val="002E5B65"/>
    <w:rsid w:val="002E76CD"/>
    <w:rsid w:val="002F6488"/>
    <w:rsid w:val="002F7F15"/>
    <w:rsid w:val="00301E49"/>
    <w:rsid w:val="00302BDB"/>
    <w:rsid w:val="003055CA"/>
    <w:rsid w:val="00310E84"/>
    <w:rsid w:val="00312024"/>
    <w:rsid w:val="0031262B"/>
    <w:rsid w:val="00315A71"/>
    <w:rsid w:val="003213F9"/>
    <w:rsid w:val="00323D06"/>
    <w:rsid w:val="00323DBF"/>
    <w:rsid w:val="00326A75"/>
    <w:rsid w:val="0033007C"/>
    <w:rsid w:val="003309A8"/>
    <w:rsid w:val="00332532"/>
    <w:rsid w:val="00332B12"/>
    <w:rsid w:val="003332DF"/>
    <w:rsid w:val="00336711"/>
    <w:rsid w:val="0034029F"/>
    <w:rsid w:val="00343733"/>
    <w:rsid w:val="00343EFC"/>
    <w:rsid w:val="00347935"/>
    <w:rsid w:val="003507E8"/>
    <w:rsid w:val="00350DBD"/>
    <w:rsid w:val="00351927"/>
    <w:rsid w:val="00351B07"/>
    <w:rsid w:val="00357965"/>
    <w:rsid w:val="00357B75"/>
    <w:rsid w:val="0036268A"/>
    <w:rsid w:val="00362718"/>
    <w:rsid w:val="00364841"/>
    <w:rsid w:val="00364BC0"/>
    <w:rsid w:val="0036688B"/>
    <w:rsid w:val="00366A67"/>
    <w:rsid w:val="003719BA"/>
    <w:rsid w:val="00371B29"/>
    <w:rsid w:val="00372182"/>
    <w:rsid w:val="0037520F"/>
    <w:rsid w:val="00387492"/>
    <w:rsid w:val="00391769"/>
    <w:rsid w:val="00393448"/>
    <w:rsid w:val="003953E1"/>
    <w:rsid w:val="003956B3"/>
    <w:rsid w:val="003A143C"/>
    <w:rsid w:val="003A5828"/>
    <w:rsid w:val="003A68BE"/>
    <w:rsid w:val="003A7725"/>
    <w:rsid w:val="003B22F1"/>
    <w:rsid w:val="003B3C9D"/>
    <w:rsid w:val="003B78E0"/>
    <w:rsid w:val="003C4969"/>
    <w:rsid w:val="003C7704"/>
    <w:rsid w:val="003C78B7"/>
    <w:rsid w:val="003D43F8"/>
    <w:rsid w:val="003E41D5"/>
    <w:rsid w:val="003E46BA"/>
    <w:rsid w:val="003E7D22"/>
    <w:rsid w:val="003F2D0E"/>
    <w:rsid w:val="003F4593"/>
    <w:rsid w:val="003F602B"/>
    <w:rsid w:val="003F72D5"/>
    <w:rsid w:val="003F74C1"/>
    <w:rsid w:val="00400E21"/>
    <w:rsid w:val="00401DBD"/>
    <w:rsid w:val="00404B08"/>
    <w:rsid w:val="00405B1A"/>
    <w:rsid w:val="00405CFB"/>
    <w:rsid w:val="00407241"/>
    <w:rsid w:val="0040761E"/>
    <w:rsid w:val="00410C76"/>
    <w:rsid w:val="00411907"/>
    <w:rsid w:val="00413CA8"/>
    <w:rsid w:val="00416C69"/>
    <w:rsid w:val="00417EE3"/>
    <w:rsid w:val="004207EB"/>
    <w:rsid w:val="004211BC"/>
    <w:rsid w:val="00421498"/>
    <w:rsid w:val="0042213E"/>
    <w:rsid w:val="00423155"/>
    <w:rsid w:val="0042377F"/>
    <w:rsid w:val="00426939"/>
    <w:rsid w:val="00430419"/>
    <w:rsid w:val="004304B4"/>
    <w:rsid w:val="0043542B"/>
    <w:rsid w:val="00435FA5"/>
    <w:rsid w:val="00436B8D"/>
    <w:rsid w:val="00437276"/>
    <w:rsid w:val="00441A25"/>
    <w:rsid w:val="004446FF"/>
    <w:rsid w:val="004464B6"/>
    <w:rsid w:val="00447E67"/>
    <w:rsid w:val="00454778"/>
    <w:rsid w:val="0045556F"/>
    <w:rsid w:val="00455E95"/>
    <w:rsid w:val="00456B54"/>
    <w:rsid w:val="004576A7"/>
    <w:rsid w:val="00461367"/>
    <w:rsid w:val="00464643"/>
    <w:rsid w:val="004646F8"/>
    <w:rsid w:val="00467042"/>
    <w:rsid w:val="00467740"/>
    <w:rsid w:val="004811A0"/>
    <w:rsid w:val="00483140"/>
    <w:rsid w:val="00483503"/>
    <w:rsid w:val="00486793"/>
    <w:rsid w:val="00491CB1"/>
    <w:rsid w:val="00496C44"/>
    <w:rsid w:val="004A1976"/>
    <w:rsid w:val="004A2037"/>
    <w:rsid w:val="004A3685"/>
    <w:rsid w:val="004A6577"/>
    <w:rsid w:val="004A66C1"/>
    <w:rsid w:val="004A7057"/>
    <w:rsid w:val="004C282D"/>
    <w:rsid w:val="004C2CE7"/>
    <w:rsid w:val="004C2E00"/>
    <w:rsid w:val="004D27C7"/>
    <w:rsid w:val="004D30A6"/>
    <w:rsid w:val="004D4B40"/>
    <w:rsid w:val="004D583D"/>
    <w:rsid w:val="004E41C6"/>
    <w:rsid w:val="004F4F98"/>
    <w:rsid w:val="004F69F6"/>
    <w:rsid w:val="004F79AC"/>
    <w:rsid w:val="0050072E"/>
    <w:rsid w:val="005017CF"/>
    <w:rsid w:val="00511911"/>
    <w:rsid w:val="00512290"/>
    <w:rsid w:val="005143E1"/>
    <w:rsid w:val="005166CD"/>
    <w:rsid w:val="005207D8"/>
    <w:rsid w:val="00521F70"/>
    <w:rsid w:val="00522B14"/>
    <w:rsid w:val="00523291"/>
    <w:rsid w:val="005235D0"/>
    <w:rsid w:val="0052439D"/>
    <w:rsid w:val="00527870"/>
    <w:rsid w:val="0053464E"/>
    <w:rsid w:val="005401C8"/>
    <w:rsid w:val="00543D8D"/>
    <w:rsid w:val="00552513"/>
    <w:rsid w:val="00553969"/>
    <w:rsid w:val="00557539"/>
    <w:rsid w:val="005613EC"/>
    <w:rsid w:val="00562917"/>
    <w:rsid w:val="00562BE3"/>
    <w:rsid w:val="0056667F"/>
    <w:rsid w:val="00567F0E"/>
    <w:rsid w:val="0057734D"/>
    <w:rsid w:val="00586228"/>
    <w:rsid w:val="005906E9"/>
    <w:rsid w:val="0059115C"/>
    <w:rsid w:val="0059227F"/>
    <w:rsid w:val="0059498B"/>
    <w:rsid w:val="00594F5C"/>
    <w:rsid w:val="005A3A03"/>
    <w:rsid w:val="005A60FE"/>
    <w:rsid w:val="005B01E7"/>
    <w:rsid w:val="005B615C"/>
    <w:rsid w:val="005B685B"/>
    <w:rsid w:val="005B6AF4"/>
    <w:rsid w:val="005C04AD"/>
    <w:rsid w:val="005C04CB"/>
    <w:rsid w:val="005C0511"/>
    <w:rsid w:val="005C440B"/>
    <w:rsid w:val="005C6584"/>
    <w:rsid w:val="005C71BA"/>
    <w:rsid w:val="005D16AD"/>
    <w:rsid w:val="005D30A8"/>
    <w:rsid w:val="005D3A34"/>
    <w:rsid w:val="005D5A00"/>
    <w:rsid w:val="005D72E1"/>
    <w:rsid w:val="005E3707"/>
    <w:rsid w:val="005E6E16"/>
    <w:rsid w:val="005F2BCC"/>
    <w:rsid w:val="005F400E"/>
    <w:rsid w:val="005F4C5D"/>
    <w:rsid w:val="005F534F"/>
    <w:rsid w:val="005F6688"/>
    <w:rsid w:val="005F7245"/>
    <w:rsid w:val="005F7342"/>
    <w:rsid w:val="00603A08"/>
    <w:rsid w:val="006041BB"/>
    <w:rsid w:val="0060624D"/>
    <w:rsid w:val="006066BC"/>
    <w:rsid w:val="00606C88"/>
    <w:rsid w:val="006103E2"/>
    <w:rsid w:val="00610A3C"/>
    <w:rsid w:val="00616EC4"/>
    <w:rsid w:val="00621E91"/>
    <w:rsid w:val="00627F48"/>
    <w:rsid w:val="00631C90"/>
    <w:rsid w:val="00633ACA"/>
    <w:rsid w:val="006342E0"/>
    <w:rsid w:val="00634758"/>
    <w:rsid w:val="00637144"/>
    <w:rsid w:val="0064004D"/>
    <w:rsid w:val="00640EFA"/>
    <w:rsid w:val="00642A47"/>
    <w:rsid w:val="006432A0"/>
    <w:rsid w:val="00646FDD"/>
    <w:rsid w:val="00663FCF"/>
    <w:rsid w:val="006652A2"/>
    <w:rsid w:val="00666056"/>
    <w:rsid w:val="00674A8F"/>
    <w:rsid w:val="00681754"/>
    <w:rsid w:val="0068191E"/>
    <w:rsid w:val="00681D53"/>
    <w:rsid w:val="00683736"/>
    <w:rsid w:val="00683E69"/>
    <w:rsid w:val="006937FF"/>
    <w:rsid w:val="006940C5"/>
    <w:rsid w:val="00694D95"/>
    <w:rsid w:val="006965BF"/>
    <w:rsid w:val="006A2514"/>
    <w:rsid w:val="006A35ED"/>
    <w:rsid w:val="006A48A7"/>
    <w:rsid w:val="006A646C"/>
    <w:rsid w:val="006B4BA1"/>
    <w:rsid w:val="006C18CB"/>
    <w:rsid w:val="006C21EB"/>
    <w:rsid w:val="006C28E2"/>
    <w:rsid w:val="006C46E8"/>
    <w:rsid w:val="006C50BD"/>
    <w:rsid w:val="006C5C7F"/>
    <w:rsid w:val="006C5CF5"/>
    <w:rsid w:val="006D2F64"/>
    <w:rsid w:val="006D314C"/>
    <w:rsid w:val="006D3C66"/>
    <w:rsid w:val="006D7F0A"/>
    <w:rsid w:val="006E0701"/>
    <w:rsid w:val="006E0CAB"/>
    <w:rsid w:val="006E165C"/>
    <w:rsid w:val="006F1672"/>
    <w:rsid w:val="006F28DC"/>
    <w:rsid w:val="006F3C61"/>
    <w:rsid w:val="006F4A82"/>
    <w:rsid w:val="00700239"/>
    <w:rsid w:val="0070373B"/>
    <w:rsid w:val="00707E72"/>
    <w:rsid w:val="007113EB"/>
    <w:rsid w:val="00713B5C"/>
    <w:rsid w:val="0072150F"/>
    <w:rsid w:val="007215AE"/>
    <w:rsid w:val="00724FA4"/>
    <w:rsid w:val="007252D9"/>
    <w:rsid w:val="00726C2F"/>
    <w:rsid w:val="00730800"/>
    <w:rsid w:val="007368AB"/>
    <w:rsid w:val="00737902"/>
    <w:rsid w:val="00741EFE"/>
    <w:rsid w:val="007437F9"/>
    <w:rsid w:val="007453B5"/>
    <w:rsid w:val="007567C4"/>
    <w:rsid w:val="007602AA"/>
    <w:rsid w:val="00764F69"/>
    <w:rsid w:val="007652EF"/>
    <w:rsid w:val="00771AB4"/>
    <w:rsid w:val="00772BDC"/>
    <w:rsid w:val="00773033"/>
    <w:rsid w:val="00780792"/>
    <w:rsid w:val="00784C49"/>
    <w:rsid w:val="007959BF"/>
    <w:rsid w:val="007A44B4"/>
    <w:rsid w:val="007A7D3D"/>
    <w:rsid w:val="007B225D"/>
    <w:rsid w:val="007B2DF0"/>
    <w:rsid w:val="007B7A65"/>
    <w:rsid w:val="007C174F"/>
    <w:rsid w:val="007C1C64"/>
    <w:rsid w:val="007C547B"/>
    <w:rsid w:val="007D2C4F"/>
    <w:rsid w:val="007D2EDE"/>
    <w:rsid w:val="007D3641"/>
    <w:rsid w:val="007D40A1"/>
    <w:rsid w:val="007D488F"/>
    <w:rsid w:val="007E0100"/>
    <w:rsid w:val="007E48BC"/>
    <w:rsid w:val="007E5A55"/>
    <w:rsid w:val="007E75CF"/>
    <w:rsid w:val="007E7719"/>
    <w:rsid w:val="007E79F7"/>
    <w:rsid w:val="007F2213"/>
    <w:rsid w:val="007F3630"/>
    <w:rsid w:val="007F390A"/>
    <w:rsid w:val="007F6E0E"/>
    <w:rsid w:val="00803AEB"/>
    <w:rsid w:val="0080629E"/>
    <w:rsid w:val="00807559"/>
    <w:rsid w:val="00810350"/>
    <w:rsid w:val="0081484A"/>
    <w:rsid w:val="0081582A"/>
    <w:rsid w:val="008374FB"/>
    <w:rsid w:val="00844E9C"/>
    <w:rsid w:val="008450BC"/>
    <w:rsid w:val="008453CC"/>
    <w:rsid w:val="008459B9"/>
    <w:rsid w:val="0084791D"/>
    <w:rsid w:val="00851A60"/>
    <w:rsid w:val="0085334B"/>
    <w:rsid w:val="00857BF5"/>
    <w:rsid w:val="00866E6A"/>
    <w:rsid w:val="00867B23"/>
    <w:rsid w:val="00870214"/>
    <w:rsid w:val="00874B43"/>
    <w:rsid w:val="00876515"/>
    <w:rsid w:val="008828D9"/>
    <w:rsid w:val="00884F8B"/>
    <w:rsid w:val="00885C51"/>
    <w:rsid w:val="00885EB0"/>
    <w:rsid w:val="0089264A"/>
    <w:rsid w:val="00893277"/>
    <w:rsid w:val="00893708"/>
    <w:rsid w:val="00894E05"/>
    <w:rsid w:val="00896B85"/>
    <w:rsid w:val="008A22BE"/>
    <w:rsid w:val="008A3221"/>
    <w:rsid w:val="008A35FB"/>
    <w:rsid w:val="008A4678"/>
    <w:rsid w:val="008A4CEE"/>
    <w:rsid w:val="008A689E"/>
    <w:rsid w:val="008B0075"/>
    <w:rsid w:val="008B256F"/>
    <w:rsid w:val="008B7020"/>
    <w:rsid w:val="008C055F"/>
    <w:rsid w:val="008C0E7A"/>
    <w:rsid w:val="008C1B36"/>
    <w:rsid w:val="008C3374"/>
    <w:rsid w:val="008C4A37"/>
    <w:rsid w:val="008C65B8"/>
    <w:rsid w:val="008C7829"/>
    <w:rsid w:val="008C796B"/>
    <w:rsid w:val="008D06C6"/>
    <w:rsid w:val="008D3F23"/>
    <w:rsid w:val="008E2CCE"/>
    <w:rsid w:val="008E6250"/>
    <w:rsid w:val="008F628F"/>
    <w:rsid w:val="008F63D7"/>
    <w:rsid w:val="008F76D0"/>
    <w:rsid w:val="00900225"/>
    <w:rsid w:val="00902AF6"/>
    <w:rsid w:val="0091303F"/>
    <w:rsid w:val="00914030"/>
    <w:rsid w:val="00920249"/>
    <w:rsid w:val="00923B0C"/>
    <w:rsid w:val="00924C80"/>
    <w:rsid w:val="009267EE"/>
    <w:rsid w:val="00930DA4"/>
    <w:rsid w:val="00932F14"/>
    <w:rsid w:val="00937CA7"/>
    <w:rsid w:val="0094247F"/>
    <w:rsid w:val="00942886"/>
    <w:rsid w:val="00942D60"/>
    <w:rsid w:val="009437E1"/>
    <w:rsid w:val="00944BA4"/>
    <w:rsid w:val="00946A1B"/>
    <w:rsid w:val="009470D5"/>
    <w:rsid w:val="00947A9C"/>
    <w:rsid w:val="00962553"/>
    <w:rsid w:val="0096523B"/>
    <w:rsid w:val="0096636D"/>
    <w:rsid w:val="00966EE3"/>
    <w:rsid w:val="00972D06"/>
    <w:rsid w:val="009A391C"/>
    <w:rsid w:val="009A50F2"/>
    <w:rsid w:val="009B0710"/>
    <w:rsid w:val="009B3782"/>
    <w:rsid w:val="009B5599"/>
    <w:rsid w:val="009C0D35"/>
    <w:rsid w:val="009C4322"/>
    <w:rsid w:val="009C522E"/>
    <w:rsid w:val="009C5761"/>
    <w:rsid w:val="009D716F"/>
    <w:rsid w:val="009D790B"/>
    <w:rsid w:val="009E0A61"/>
    <w:rsid w:val="009E2A5F"/>
    <w:rsid w:val="009E3010"/>
    <w:rsid w:val="009F007E"/>
    <w:rsid w:val="009F0F09"/>
    <w:rsid w:val="009F7065"/>
    <w:rsid w:val="00A00583"/>
    <w:rsid w:val="00A03EC4"/>
    <w:rsid w:val="00A06E7E"/>
    <w:rsid w:val="00A12B44"/>
    <w:rsid w:val="00A163DE"/>
    <w:rsid w:val="00A16FA8"/>
    <w:rsid w:val="00A17CCC"/>
    <w:rsid w:val="00A224C4"/>
    <w:rsid w:val="00A22B67"/>
    <w:rsid w:val="00A237BD"/>
    <w:rsid w:val="00A26250"/>
    <w:rsid w:val="00A37406"/>
    <w:rsid w:val="00A40193"/>
    <w:rsid w:val="00A4175D"/>
    <w:rsid w:val="00A42D1F"/>
    <w:rsid w:val="00A516F5"/>
    <w:rsid w:val="00A52DB0"/>
    <w:rsid w:val="00A539FF"/>
    <w:rsid w:val="00A54934"/>
    <w:rsid w:val="00A56DC7"/>
    <w:rsid w:val="00A56E34"/>
    <w:rsid w:val="00A609A0"/>
    <w:rsid w:val="00A63843"/>
    <w:rsid w:val="00A66715"/>
    <w:rsid w:val="00A66A2D"/>
    <w:rsid w:val="00A74FD1"/>
    <w:rsid w:val="00A77CF0"/>
    <w:rsid w:val="00A80F39"/>
    <w:rsid w:val="00A828E0"/>
    <w:rsid w:val="00A83DC0"/>
    <w:rsid w:val="00A83F47"/>
    <w:rsid w:val="00A84A58"/>
    <w:rsid w:val="00A866AB"/>
    <w:rsid w:val="00A91DF1"/>
    <w:rsid w:val="00AA2699"/>
    <w:rsid w:val="00AA3440"/>
    <w:rsid w:val="00AB0962"/>
    <w:rsid w:val="00AB4126"/>
    <w:rsid w:val="00AC0813"/>
    <w:rsid w:val="00AC3F1A"/>
    <w:rsid w:val="00AC4195"/>
    <w:rsid w:val="00AC63B7"/>
    <w:rsid w:val="00AD2196"/>
    <w:rsid w:val="00AD22F9"/>
    <w:rsid w:val="00AD7A3D"/>
    <w:rsid w:val="00AE4E6E"/>
    <w:rsid w:val="00AE57E1"/>
    <w:rsid w:val="00AE766D"/>
    <w:rsid w:val="00AF06FC"/>
    <w:rsid w:val="00AF1DDB"/>
    <w:rsid w:val="00AF3391"/>
    <w:rsid w:val="00AF387F"/>
    <w:rsid w:val="00AF4E8B"/>
    <w:rsid w:val="00AF602C"/>
    <w:rsid w:val="00B00E7F"/>
    <w:rsid w:val="00B02038"/>
    <w:rsid w:val="00B048F6"/>
    <w:rsid w:val="00B0703E"/>
    <w:rsid w:val="00B0720C"/>
    <w:rsid w:val="00B102C4"/>
    <w:rsid w:val="00B10763"/>
    <w:rsid w:val="00B12982"/>
    <w:rsid w:val="00B1367A"/>
    <w:rsid w:val="00B152A6"/>
    <w:rsid w:val="00B16822"/>
    <w:rsid w:val="00B173DA"/>
    <w:rsid w:val="00B21DCC"/>
    <w:rsid w:val="00B21E67"/>
    <w:rsid w:val="00B253B2"/>
    <w:rsid w:val="00B25F37"/>
    <w:rsid w:val="00B261E3"/>
    <w:rsid w:val="00B4203B"/>
    <w:rsid w:val="00B44422"/>
    <w:rsid w:val="00B44DC6"/>
    <w:rsid w:val="00B46EA0"/>
    <w:rsid w:val="00B51E03"/>
    <w:rsid w:val="00B54B3F"/>
    <w:rsid w:val="00B568C7"/>
    <w:rsid w:val="00B57B33"/>
    <w:rsid w:val="00B6073B"/>
    <w:rsid w:val="00B70B0A"/>
    <w:rsid w:val="00B71F51"/>
    <w:rsid w:val="00B731D3"/>
    <w:rsid w:val="00B738AC"/>
    <w:rsid w:val="00B75F2D"/>
    <w:rsid w:val="00B81481"/>
    <w:rsid w:val="00B82031"/>
    <w:rsid w:val="00B82514"/>
    <w:rsid w:val="00B839A3"/>
    <w:rsid w:val="00B853D2"/>
    <w:rsid w:val="00B85630"/>
    <w:rsid w:val="00B902BD"/>
    <w:rsid w:val="00B950C8"/>
    <w:rsid w:val="00B96040"/>
    <w:rsid w:val="00B9694C"/>
    <w:rsid w:val="00B97696"/>
    <w:rsid w:val="00B979EC"/>
    <w:rsid w:val="00B97AD7"/>
    <w:rsid w:val="00BA24E2"/>
    <w:rsid w:val="00BA344B"/>
    <w:rsid w:val="00BA3DA7"/>
    <w:rsid w:val="00BA66CC"/>
    <w:rsid w:val="00BB5930"/>
    <w:rsid w:val="00BC057E"/>
    <w:rsid w:val="00BC0FA8"/>
    <w:rsid w:val="00BC48C9"/>
    <w:rsid w:val="00BC6896"/>
    <w:rsid w:val="00BD1D27"/>
    <w:rsid w:val="00BD2A39"/>
    <w:rsid w:val="00BD2E80"/>
    <w:rsid w:val="00BD4CBB"/>
    <w:rsid w:val="00BD52F6"/>
    <w:rsid w:val="00BD6C5B"/>
    <w:rsid w:val="00BE11B8"/>
    <w:rsid w:val="00BE1D3A"/>
    <w:rsid w:val="00BE34B2"/>
    <w:rsid w:val="00BE3583"/>
    <w:rsid w:val="00BE3818"/>
    <w:rsid w:val="00BE3FA6"/>
    <w:rsid w:val="00BF1A2F"/>
    <w:rsid w:val="00BF2A53"/>
    <w:rsid w:val="00BF7FF0"/>
    <w:rsid w:val="00C00DDC"/>
    <w:rsid w:val="00C01A51"/>
    <w:rsid w:val="00C03933"/>
    <w:rsid w:val="00C05F3E"/>
    <w:rsid w:val="00C12502"/>
    <w:rsid w:val="00C1266C"/>
    <w:rsid w:val="00C14FD2"/>
    <w:rsid w:val="00C15EB3"/>
    <w:rsid w:val="00C15FA1"/>
    <w:rsid w:val="00C162CE"/>
    <w:rsid w:val="00C2040D"/>
    <w:rsid w:val="00C20A77"/>
    <w:rsid w:val="00C240F7"/>
    <w:rsid w:val="00C258AE"/>
    <w:rsid w:val="00C318C2"/>
    <w:rsid w:val="00C36578"/>
    <w:rsid w:val="00C36F32"/>
    <w:rsid w:val="00C37175"/>
    <w:rsid w:val="00C405F7"/>
    <w:rsid w:val="00C40AA5"/>
    <w:rsid w:val="00C41ABF"/>
    <w:rsid w:val="00C46F70"/>
    <w:rsid w:val="00C47340"/>
    <w:rsid w:val="00C476D0"/>
    <w:rsid w:val="00C5517E"/>
    <w:rsid w:val="00C56F71"/>
    <w:rsid w:val="00C6078E"/>
    <w:rsid w:val="00C63580"/>
    <w:rsid w:val="00C66547"/>
    <w:rsid w:val="00C709E8"/>
    <w:rsid w:val="00C7119D"/>
    <w:rsid w:val="00C74150"/>
    <w:rsid w:val="00C80022"/>
    <w:rsid w:val="00C836E3"/>
    <w:rsid w:val="00C862C9"/>
    <w:rsid w:val="00C86577"/>
    <w:rsid w:val="00C92E07"/>
    <w:rsid w:val="00C94942"/>
    <w:rsid w:val="00C949F3"/>
    <w:rsid w:val="00C95A55"/>
    <w:rsid w:val="00C96868"/>
    <w:rsid w:val="00C96A50"/>
    <w:rsid w:val="00C979BD"/>
    <w:rsid w:val="00CA0416"/>
    <w:rsid w:val="00CA7F35"/>
    <w:rsid w:val="00CB0D37"/>
    <w:rsid w:val="00CB1375"/>
    <w:rsid w:val="00CB41B3"/>
    <w:rsid w:val="00CB479E"/>
    <w:rsid w:val="00CB4816"/>
    <w:rsid w:val="00CC36E7"/>
    <w:rsid w:val="00CC560B"/>
    <w:rsid w:val="00CC6B8D"/>
    <w:rsid w:val="00CC75E2"/>
    <w:rsid w:val="00CC7750"/>
    <w:rsid w:val="00CD0A09"/>
    <w:rsid w:val="00CD0A7C"/>
    <w:rsid w:val="00CD1FCC"/>
    <w:rsid w:val="00CD46EB"/>
    <w:rsid w:val="00CD492B"/>
    <w:rsid w:val="00CD4C45"/>
    <w:rsid w:val="00CD4E79"/>
    <w:rsid w:val="00CD59C4"/>
    <w:rsid w:val="00CD66BD"/>
    <w:rsid w:val="00CD7EBF"/>
    <w:rsid w:val="00CE0AEB"/>
    <w:rsid w:val="00CE25C8"/>
    <w:rsid w:val="00CE4B2F"/>
    <w:rsid w:val="00CE56CC"/>
    <w:rsid w:val="00CE7D0F"/>
    <w:rsid w:val="00CF0B9D"/>
    <w:rsid w:val="00CF4051"/>
    <w:rsid w:val="00D04529"/>
    <w:rsid w:val="00D056F1"/>
    <w:rsid w:val="00D0613C"/>
    <w:rsid w:val="00D062E4"/>
    <w:rsid w:val="00D10CC8"/>
    <w:rsid w:val="00D11171"/>
    <w:rsid w:val="00D14405"/>
    <w:rsid w:val="00D16678"/>
    <w:rsid w:val="00D16979"/>
    <w:rsid w:val="00D22328"/>
    <w:rsid w:val="00D22676"/>
    <w:rsid w:val="00D22F3C"/>
    <w:rsid w:val="00D23DB6"/>
    <w:rsid w:val="00D250C9"/>
    <w:rsid w:val="00D26814"/>
    <w:rsid w:val="00D26A04"/>
    <w:rsid w:val="00D27388"/>
    <w:rsid w:val="00D3171B"/>
    <w:rsid w:val="00D3356C"/>
    <w:rsid w:val="00D33F56"/>
    <w:rsid w:val="00D40221"/>
    <w:rsid w:val="00D41CEF"/>
    <w:rsid w:val="00D43FE6"/>
    <w:rsid w:val="00D4707D"/>
    <w:rsid w:val="00D51A95"/>
    <w:rsid w:val="00D51F28"/>
    <w:rsid w:val="00D5799D"/>
    <w:rsid w:val="00D60568"/>
    <w:rsid w:val="00D70C7A"/>
    <w:rsid w:val="00D71312"/>
    <w:rsid w:val="00D73931"/>
    <w:rsid w:val="00D7705C"/>
    <w:rsid w:val="00D81D38"/>
    <w:rsid w:val="00D84074"/>
    <w:rsid w:val="00D8470F"/>
    <w:rsid w:val="00D8471A"/>
    <w:rsid w:val="00D87BF7"/>
    <w:rsid w:val="00D95C92"/>
    <w:rsid w:val="00DA10A8"/>
    <w:rsid w:val="00DA1B1C"/>
    <w:rsid w:val="00DA2D56"/>
    <w:rsid w:val="00DA3484"/>
    <w:rsid w:val="00DA3502"/>
    <w:rsid w:val="00DA4347"/>
    <w:rsid w:val="00DA5BFE"/>
    <w:rsid w:val="00DA5CA2"/>
    <w:rsid w:val="00DB1E08"/>
    <w:rsid w:val="00DB2973"/>
    <w:rsid w:val="00DB324A"/>
    <w:rsid w:val="00DB5640"/>
    <w:rsid w:val="00DB57FA"/>
    <w:rsid w:val="00DB7A08"/>
    <w:rsid w:val="00DC1B56"/>
    <w:rsid w:val="00DC2129"/>
    <w:rsid w:val="00DC3C72"/>
    <w:rsid w:val="00DC6570"/>
    <w:rsid w:val="00DD3C5E"/>
    <w:rsid w:val="00DD6417"/>
    <w:rsid w:val="00DE015C"/>
    <w:rsid w:val="00DE3220"/>
    <w:rsid w:val="00DE34F9"/>
    <w:rsid w:val="00DE4648"/>
    <w:rsid w:val="00DE79D9"/>
    <w:rsid w:val="00DF0094"/>
    <w:rsid w:val="00DF1D4C"/>
    <w:rsid w:val="00DF25C3"/>
    <w:rsid w:val="00DF3CF7"/>
    <w:rsid w:val="00DF455E"/>
    <w:rsid w:val="00DF60C1"/>
    <w:rsid w:val="00E0165E"/>
    <w:rsid w:val="00E04062"/>
    <w:rsid w:val="00E063C6"/>
    <w:rsid w:val="00E07EDF"/>
    <w:rsid w:val="00E1348F"/>
    <w:rsid w:val="00E139EB"/>
    <w:rsid w:val="00E13F0F"/>
    <w:rsid w:val="00E17E0E"/>
    <w:rsid w:val="00E2003B"/>
    <w:rsid w:val="00E203C2"/>
    <w:rsid w:val="00E24554"/>
    <w:rsid w:val="00E24DE8"/>
    <w:rsid w:val="00E279D8"/>
    <w:rsid w:val="00E27C21"/>
    <w:rsid w:val="00E30908"/>
    <w:rsid w:val="00E319B1"/>
    <w:rsid w:val="00E32566"/>
    <w:rsid w:val="00E33DC2"/>
    <w:rsid w:val="00E40ED4"/>
    <w:rsid w:val="00E44E0D"/>
    <w:rsid w:val="00E520FE"/>
    <w:rsid w:val="00E5492F"/>
    <w:rsid w:val="00E62DEF"/>
    <w:rsid w:val="00E65AB9"/>
    <w:rsid w:val="00E70A86"/>
    <w:rsid w:val="00E75054"/>
    <w:rsid w:val="00E751D6"/>
    <w:rsid w:val="00E76B97"/>
    <w:rsid w:val="00E777EC"/>
    <w:rsid w:val="00E80FCD"/>
    <w:rsid w:val="00E81F6E"/>
    <w:rsid w:val="00E83657"/>
    <w:rsid w:val="00E87C99"/>
    <w:rsid w:val="00E9092E"/>
    <w:rsid w:val="00E917AD"/>
    <w:rsid w:val="00E967F6"/>
    <w:rsid w:val="00EA496C"/>
    <w:rsid w:val="00EA7C97"/>
    <w:rsid w:val="00EA7F2F"/>
    <w:rsid w:val="00EB1C31"/>
    <w:rsid w:val="00EB693B"/>
    <w:rsid w:val="00EB7989"/>
    <w:rsid w:val="00EC00DE"/>
    <w:rsid w:val="00EC30E1"/>
    <w:rsid w:val="00EC38A8"/>
    <w:rsid w:val="00EC480F"/>
    <w:rsid w:val="00EC767F"/>
    <w:rsid w:val="00ED172A"/>
    <w:rsid w:val="00ED727F"/>
    <w:rsid w:val="00EE0A23"/>
    <w:rsid w:val="00EE12DD"/>
    <w:rsid w:val="00EE57D9"/>
    <w:rsid w:val="00EE5EEA"/>
    <w:rsid w:val="00EE7A98"/>
    <w:rsid w:val="00EF35A5"/>
    <w:rsid w:val="00EF7D07"/>
    <w:rsid w:val="00F0750B"/>
    <w:rsid w:val="00F14323"/>
    <w:rsid w:val="00F14BEC"/>
    <w:rsid w:val="00F153AD"/>
    <w:rsid w:val="00F15BD6"/>
    <w:rsid w:val="00F225C5"/>
    <w:rsid w:val="00F2293E"/>
    <w:rsid w:val="00F2540B"/>
    <w:rsid w:val="00F2587A"/>
    <w:rsid w:val="00F31C0B"/>
    <w:rsid w:val="00F33BB8"/>
    <w:rsid w:val="00F367E7"/>
    <w:rsid w:val="00F3715D"/>
    <w:rsid w:val="00F37A3A"/>
    <w:rsid w:val="00F420C8"/>
    <w:rsid w:val="00F42366"/>
    <w:rsid w:val="00F424F7"/>
    <w:rsid w:val="00F42A4C"/>
    <w:rsid w:val="00F477B0"/>
    <w:rsid w:val="00F53B04"/>
    <w:rsid w:val="00F56459"/>
    <w:rsid w:val="00F604DE"/>
    <w:rsid w:val="00F60A5F"/>
    <w:rsid w:val="00F64653"/>
    <w:rsid w:val="00F672DF"/>
    <w:rsid w:val="00F7273C"/>
    <w:rsid w:val="00F72F99"/>
    <w:rsid w:val="00F73905"/>
    <w:rsid w:val="00F749F8"/>
    <w:rsid w:val="00F75865"/>
    <w:rsid w:val="00F76B45"/>
    <w:rsid w:val="00F83767"/>
    <w:rsid w:val="00F94455"/>
    <w:rsid w:val="00FA2C60"/>
    <w:rsid w:val="00FB1533"/>
    <w:rsid w:val="00FB67A3"/>
    <w:rsid w:val="00FB68C4"/>
    <w:rsid w:val="00FB7512"/>
    <w:rsid w:val="00FC34B9"/>
    <w:rsid w:val="00FC408F"/>
    <w:rsid w:val="00FC5C0E"/>
    <w:rsid w:val="00FD2FBE"/>
    <w:rsid w:val="00FD4939"/>
    <w:rsid w:val="00FD547B"/>
    <w:rsid w:val="00FD7547"/>
    <w:rsid w:val="00FE264F"/>
    <w:rsid w:val="00FE33D7"/>
    <w:rsid w:val="00FE7D20"/>
    <w:rsid w:val="00FF3019"/>
    <w:rsid w:val="00FF53A9"/>
    <w:rsid w:val="00FF54A9"/>
    <w:rsid w:val="00FF5F5C"/>
    <w:rsid w:val="00FF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rsid w:val="005F534F"/>
    <w:rPr>
      <w:rFonts w:ascii="Arial" w:hAnsi="Arial"/>
      <w:lang w:eastAsia="en-US" w:bidi="en-US"/>
    </w:rPr>
  </w:style>
  <w:style w:type="character" w:customStyle="1" w:styleId="FooterChar">
    <w:name w:val="Footer Char"/>
    <w:basedOn w:val="DefaultParagraphFont"/>
    <w:link w:val="Footer"/>
    <w:uiPriority w:val="99"/>
    <w:rsid w:val="003D43F8"/>
    <w:rPr>
      <w:rFonts w:ascii="Arial" w:hAnsi="Arial"/>
      <w:szCs w:val="24"/>
      <w:lang w:eastAsia="en-US" w:bidi="en-US"/>
    </w:rPr>
  </w:style>
  <w:style w:type="paragraph" w:styleId="ListParagraph">
    <w:name w:val="List Paragraph"/>
    <w:basedOn w:val="Normal"/>
    <w:uiPriority w:val="34"/>
    <w:qFormat/>
    <w:rsid w:val="003D43F8"/>
    <w:pPr>
      <w:ind w:left="720"/>
      <w:contextualSpacing/>
    </w:pPr>
  </w:style>
  <w:style w:type="character" w:customStyle="1" w:styleId="ClauseChar">
    <w:name w:val="Clause Char"/>
    <w:basedOn w:val="DefaultParagraphFont"/>
    <w:link w:val="Clause"/>
    <w:rsid w:val="00F15BD6"/>
    <w:rPr>
      <w:rFonts w:ascii="Arial" w:hAnsi="Arial"/>
      <w:lang w:eastAsia="en-US" w:bidi="en-US"/>
    </w:rPr>
  </w:style>
  <w:style w:type="paragraph" w:styleId="Title">
    <w:name w:val="Title"/>
    <w:basedOn w:val="Normal"/>
    <w:link w:val="TitleChar"/>
    <w:uiPriority w:val="10"/>
    <w:qFormat/>
    <w:rsid w:val="00F15BD6"/>
    <w:pPr>
      <w:tabs>
        <w:tab w:val="left" w:pos="851"/>
      </w:tabs>
      <w:jc w:val="center"/>
    </w:pPr>
    <w:rPr>
      <w:b/>
      <w:bCs/>
      <w:sz w:val="20"/>
      <w:lang w:val="en-AU" w:bidi="ar-SA"/>
    </w:rPr>
  </w:style>
  <w:style w:type="character" w:customStyle="1" w:styleId="TitleChar">
    <w:name w:val="Title Char"/>
    <w:basedOn w:val="DefaultParagraphFont"/>
    <w:link w:val="Title"/>
    <w:uiPriority w:val="10"/>
    <w:rsid w:val="00F15BD6"/>
    <w:rPr>
      <w:rFonts w:ascii="Arial" w:hAnsi="Arial"/>
      <w:b/>
      <w:bCs/>
      <w:szCs w:val="24"/>
      <w:lang w:val="en-AU" w:eastAsia="en-US"/>
    </w:rPr>
  </w:style>
  <w:style w:type="character" w:customStyle="1" w:styleId="TitleBorderChar">
    <w:name w:val="TitleBorder Char"/>
    <w:link w:val="TitleBorder"/>
    <w:rsid w:val="00F15BD6"/>
    <w:rPr>
      <w:rFonts w:ascii="Arial" w:hAnsi="Arial"/>
      <w:b/>
      <w:sz w:val="22"/>
      <w:lang w:eastAsia="en-US" w:bidi="en-US"/>
    </w:rPr>
  </w:style>
  <w:style w:type="character" w:customStyle="1" w:styleId="SubclauseChar">
    <w:name w:val="Subclause Char"/>
    <w:basedOn w:val="DefaultParagraphFont"/>
    <w:link w:val="Subclause"/>
    <w:rsid w:val="00F15BD6"/>
    <w:rPr>
      <w:rFonts w:ascii="Arial" w:hAnsi="Arial"/>
      <w:lang w:eastAsia="en-US" w:bidi="en-US"/>
    </w:rPr>
  </w:style>
  <w:style w:type="paragraph" w:customStyle="1" w:styleId="Default">
    <w:name w:val="Default"/>
    <w:rsid w:val="00CF4051"/>
    <w:pPr>
      <w:autoSpaceDE w:val="0"/>
      <w:autoSpaceDN w:val="0"/>
      <w:adjustRightInd w:val="0"/>
    </w:pPr>
    <w:rPr>
      <w:rFonts w:ascii="Arial" w:eastAsiaTheme="minorHAnsi" w:hAnsi="Arial" w:cs="Arial"/>
      <w:color w:val="000000"/>
      <w:sz w:val="24"/>
      <w:szCs w:val="24"/>
      <w:lang w:eastAsia="en-US"/>
    </w:rPr>
  </w:style>
  <w:style w:type="paragraph" w:customStyle="1" w:styleId="ttCrest">
    <w:name w:val="tt_Crest"/>
    <w:basedOn w:val="Normal"/>
    <w:rsid w:val="00483140"/>
    <w:pPr>
      <w:widowControl/>
      <w:spacing w:before="60" w:after="80"/>
    </w:pPr>
    <w:rPr>
      <w:sz w:val="24"/>
      <w:lang w:val="en-AU" w:eastAsia="en-AU" w:bidi="ar-SA"/>
    </w:rPr>
  </w:style>
  <w:style w:type="paragraph" w:customStyle="1" w:styleId="FSCpreActref">
    <w:name w:val="FSC_pre_Act_ref"/>
    <w:aliases w:val="tt_Authorising_Act"/>
    <w:basedOn w:val="Normal"/>
    <w:rsid w:val="00AE57E1"/>
    <w:pPr>
      <w:widowControl/>
      <w:spacing w:before="480"/>
    </w:pPr>
    <w:rPr>
      <w:rFonts w:cs="Arial"/>
      <w:i/>
      <w:sz w:val="28"/>
      <w:szCs w:val="28"/>
      <w:lang w:eastAsia="en-AU" w:bidi="ar-SA"/>
    </w:rPr>
  </w:style>
  <w:style w:type="paragraph" w:customStyle="1" w:styleId="FSCpreTitle">
    <w:name w:val="FSC_pre_Title"/>
    <w:aliases w:val="tt_Title_of_Instrument"/>
    <w:basedOn w:val="Normal"/>
    <w:rsid w:val="00AE57E1"/>
    <w:pPr>
      <w:widowControl/>
      <w:spacing w:before="1200"/>
    </w:pPr>
    <w:rPr>
      <w:b/>
      <w:sz w:val="32"/>
      <w:lang w:eastAsia="en-AU" w:bidi="ar-SA"/>
    </w:rPr>
  </w:style>
  <w:style w:type="paragraph" w:customStyle="1" w:styleId="HR">
    <w:name w:val="HR"/>
    <w:aliases w:val="Regulation Heading"/>
    <w:basedOn w:val="Normal"/>
    <w:next w:val="R1"/>
    <w:rsid w:val="00483140"/>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83140"/>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483140"/>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483140"/>
    <w:pPr>
      <w:keepNext/>
      <w:keepLines/>
      <w:widowControl/>
      <w:spacing w:before="480"/>
      <w:ind w:left="2410" w:hanging="2410"/>
    </w:pPr>
    <w:rPr>
      <w:b/>
      <w:sz w:val="32"/>
      <w:lang w:val="en-AU" w:eastAsia="en-AU" w:bidi="ar-SA"/>
    </w:rPr>
  </w:style>
  <w:style w:type="paragraph" w:customStyle="1" w:styleId="FSCh3Standard">
    <w:name w:val="FSC_h3_Standard"/>
    <w:aliases w:val="h3_Div,h1_Sch"/>
    <w:basedOn w:val="FSCbaseheading"/>
    <w:next w:val="Normal"/>
    <w:qFormat/>
    <w:rsid w:val="00AE57E1"/>
    <w:pPr>
      <w:spacing w:before="0" w:after="240"/>
      <w:outlineLvl w:val="2"/>
    </w:pPr>
    <w:rPr>
      <w:sz w:val="32"/>
    </w:rPr>
  </w:style>
  <w:style w:type="paragraph" w:customStyle="1" w:styleId="FSCnatHeading">
    <w:name w:val="FSC_n_at_Heading"/>
    <w:aliases w:val="n_to_Heading"/>
    <w:basedOn w:val="FSCtMain"/>
    <w:qFormat/>
    <w:rsid w:val="00AE57E1"/>
    <w:pPr>
      <w:ind w:left="851" w:hanging="851"/>
    </w:pPr>
    <w:rPr>
      <w:sz w:val="16"/>
    </w:rPr>
  </w:style>
  <w:style w:type="paragraph" w:styleId="EndnoteText">
    <w:name w:val="endnote text"/>
    <w:basedOn w:val="Normal"/>
    <w:link w:val="EndnoteTextChar"/>
    <w:rsid w:val="00B81481"/>
    <w:rPr>
      <w:sz w:val="20"/>
      <w:szCs w:val="20"/>
    </w:rPr>
  </w:style>
  <w:style w:type="character" w:customStyle="1" w:styleId="EndnoteTextChar">
    <w:name w:val="Endnote Text Char"/>
    <w:basedOn w:val="DefaultParagraphFont"/>
    <w:link w:val="EndnoteText"/>
    <w:rsid w:val="00B81481"/>
    <w:rPr>
      <w:rFonts w:ascii="Arial" w:hAnsi="Arial"/>
      <w:lang w:eastAsia="en-US" w:bidi="en-US"/>
    </w:rPr>
  </w:style>
  <w:style w:type="character" w:styleId="EndnoteReference">
    <w:name w:val="endnote reference"/>
    <w:basedOn w:val="DefaultParagraphFont"/>
    <w:rsid w:val="00B81481"/>
    <w:rPr>
      <w:vertAlign w:val="superscript"/>
    </w:rPr>
  </w:style>
  <w:style w:type="paragraph" w:customStyle="1" w:styleId="FSCbaseheading">
    <w:name w:val="FSC_base_heading"/>
    <w:rsid w:val="00AE57E1"/>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AE57E1"/>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AE57E1"/>
    <w:pPr>
      <w:spacing w:before="60" w:after="60"/>
      <w:ind w:left="0" w:firstLine="0"/>
    </w:pPr>
    <w:rPr>
      <w:sz w:val="18"/>
    </w:rPr>
  </w:style>
  <w:style w:type="paragraph" w:customStyle="1" w:styleId="FSCbaseTOC">
    <w:name w:val="FSC_base_TOC"/>
    <w:rsid w:val="00AE57E1"/>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AE57E1"/>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AE57E1"/>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AE57E1"/>
    <w:pPr>
      <w:spacing w:before="480"/>
      <w:outlineLvl w:val="0"/>
    </w:pPr>
    <w:rPr>
      <w:bCs w:val="0"/>
      <w:sz w:val="40"/>
    </w:rPr>
  </w:style>
  <w:style w:type="paragraph" w:customStyle="1" w:styleId="FSCh2Part">
    <w:name w:val="FSC_h2_Part"/>
    <w:aliases w:val="h2_Part"/>
    <w:basedOn w:val="FSCbaseheading"/>
    <w:next w:val="Normal"/>
    <w:qFormat/>
    <w:rsid w:val="00AE57E1"/>
    <w:pPr>
      <w:outlineLvl w:val="1"/>
    </w:pPr>
    <w:rPr>
      <w:bCs w:val="0"/>
      <w:sz w:val="36"/>
      <w:szCs w:val="22"/>
    </w:rPr>
  </w:style>
  <w:style w:type="paragraph" w:customStyle="1" w:styleId="FSCh3Contents">
    <w:name w:val="FSC_h3_Contents"/>
    <w:aliases w:val="h2_Contents_Intro"/>
    <w:basedOn w:val="FSCh3Standard"/>
    <w:rsid w:val="00AE57E1"/>
    <w:pPr>
      <w:ind w:left="0" w:firstLine="0"/>
      <w:jc w:val="center"/>
    </w:pPr>
  </w:style>
  <w:style w:type="paragraph" w:customStyle="1" w:styleId="FSCh4Div">
    <w:name w:val="FSC_h4_Div"/>
    <w:aliases w:val="h4_Subdiv"/>
    <w:basedOn w:val="FSCbaseheading"/>
    <w:next w:val="Normal"/>
    <w:qFormat/>
    <w:rsid w:val="00AE57E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AE57E1"/>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AE57E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AE57E1"/>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AE57E1"/>
    <w:pPr>
      <w:keepLines w:val="0"/>
      <w:widowControl w:val="0"/>
      <w:spacing w:before="120" w:after="60"/>
      <w:ind w:left="1701" w:firstLine="0"/>
    </w:pPr>
    <w:rPr>
      <w:b w:val="0"/>
      <w:i/>
      <w:sz w:val="20"/>
    </w:rPr>
  </w:style>
  <w:style w:type="paragraph" w:customStyle="1" w:styleId="FSCtMain">
    <w:name w:val="FSC_t_Main"/>
    <w:aliases w:val="t1_Main"/>
    <w:basedOn w:val="FSCbasepara"/>
    <w:rsid w:val="00AE57E1"/>
    <w:pPr>
      <w:keepLines w:val="0"/>
      <w:widowControl w:val="0"/>
      <w:tabs>
        <w:tab w:val="left" w:pos="1134"/>
      </w:tabs>
      <w:spacing w:after="120"/>
    </w:pPr>
  </w:style>
  <w:style w:type="paragraph" w:customStyle="1" w:styleId="FSCtPara">
    <w:name w:val="FSC_t_Para"/>
    <w:aliases w:val="t2_Para"/>
    <w:basedOn w:val="FSCtMain"/>
    <w:qFormat/>
    <w:rsid w:val="00AE57E1"/>
    <w:pPr>
      <w:tabs>
        <w:tab w:val="clear" w:pos="1134"/>
        <w:tab w:val="left" w:pos="1701"/>
      </w:tabs>
      <w:spacing w:before="60" w:after="60"/>
      <w:ind w:left="2268" w:hanging="2268"/>
    </w:pPr>
  </w:style>
  <w:style w:type="paragraph" w:customStyle="1" w:styleId="FSCnMain">
    <w:name w:val="FSC_n_Main"/>
    <w:aliases w:val="n_Main"/>
    <w:basedOn w:val="FSCtPara"/>
    <w:qFormat/>
    <w:rsid w:val="00AE57E1"/>
    <w:rPr>
      <w:iCs w:val="0"/>
      <w:sz w:val="16"/>
      <w:szCs w:val="18"/>
    </w:rPr>
  </w:style>
  <w:style w:type="paragraph" w:customStyle="1" w:styleId="FSCtSubpara">
    <w:name w:val="FSC_t_Subpara"/>
    <w:aliases w:val="t3_Subpara"/>
    <w:basedOn w:val="FSCtMain"/>
    <w:qFormat/>
    <w:rsid w:val="00AE57E1"/>
    <w:pPr>
      <w:tabs>
        <w:tab w:val="clear" w:pos="1134"/>
        <w:tab w:val="left" w:pos="2268"/>
      </w:tabs>
      <w:spacing w:before="60" w:after="60"/>
      <w:ind w:left="2835" w:hanging="2835"/>
    </w:pPr>
  </w:style>
  <w:style w:type="paragraph" w:customStyle="1" w:styleId="FSCnPara">
    <w:name w:val="FSC_n_Para"/>
    <w:aliases w:val="n_Para"/>
    <w:basedOn w:val="FSCtSubpara"/>
    <w:qFormat/>
    <w:rsid w:val="00AE57E1"/>
    <w:rPr>
      <w:sz w:val="16"/>
    </w:rPr>
  </w:style>
  <w:style w:type="paragraph" w:customStyle="1" w:styleId="FSCtSubsub">
    <w:name w:val="FSC_t_Subsub"/>
    <w:aliases w:val="t4_Subsub"/>
    <w:basedOn w:val="FSCtPara"/>
    <w:qFormat/>
    <w:rsid w:val="00AE57E1"/>
    <w:pPr>
      <w:tabs>
        <w:tab w:val="clear" w:pos="1701"/>
        <w:tab w:val="left" w:pos="2835"/>
      </w:tabs>
      <w:ind w:left="3402" w:hanging="3402"/>
    </w:pPr>
  </w:style>
  <w:style w:type="paragraph" w:customStyle="1" w:styleId="FSCnSubpara">
    <w:name w:val="FSC_n_Subpara"/>
    <w:aliases w:val="n_Subpara"/>
    <w:basedOn w:val="FSCtSubsub"/>
    <w:qFormat/>
    <w:rsid w:val="00AE57E1"/>
    <w:rPr>
      <w:sz w:val="16"/>
    </w:rPr>
  </w:style>
  <w:style w:type="paragraph" w:customStyle="1" w:styleId="FSCnSubsub">
    <w:name w:val="FSC_n_Subsub"/>
    <w:aliases w:val="n_Subsubpara"/>
    <w:basedOn w:val="FSCnSubpara"/>
    <w:qFormat/>
    <w:rsid w:val="00AE57E1"/>
    <w:pPr>
      <w:tabs>
        <w:tab w:val="clear" w:pos="2835"/>
        <w:tab w:val="left" w:pos="3402"/>
      </w:tabs>
      <w:ind w:left="3969" w:hanging="3969"/>
    </w:pPr>
  </w:style>
  <w:style w:type="paragraph" w:customStyle="1" w:styleId="FSCoContents">
    <w:name w:val="FSC_o_Contents"/>
    <w:basedOn w:val="FSCh2Part"/>
    <w:rsid w:val="00AE57E1"/>
    <w:pPr>
      <w:ind w:left="0" w:firstLine="0"/>
      <w:jc w:val="center"/>
    </w:pPr>
  </w:style>
  <w:style w:type="paragraph" w:customStyle="1" w:styleId="FSCoDraftstrip">
    <w:name w:val="FSC_o_Draft_strip"/>
    <w:basedOn w:val="Normal"/>
    <w:rsid w:val="00AE57E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AE57E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AE57E1"/>
    <w:pPr>
      <w:widowControl/>
      <w:spacing w:before="80"/>
    </w:pPr>
    <w:rPr>
      <w:color w:val="7030A0"/>
      <w:lang w:eastAsia="en-AU" w:bidi="ar-SA"/>
    </w:rPr>
  </w:style>
  <w:style w:type="paragraph" w:customStyle="1" w:styleId="FSCoFooter">
    <w:name w:val="FSC_o_Footer"/>
    <w:basedOn w:val="Normal"/>
    <w:rsid w:val="00AE57E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AE57E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AE57E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AE57E1"/>
    <w:rPr>
      <w:rFonts w:ascii="Arial" w:hAnsi="Arial"/>
      <w:b/>
      <w:noProof/>
      <w:szCs w:val="24"/>
      <w:lang w:eastAsia="en-AU"/>
    </w:rPr>
  </w:style>
  <w:style w:type="paragraph" w:customStyle="1" w:styleId="FSCoParaMark">
    <w:name w:val="FSC_o_Para_Mark"/>
    <w:basedOn w:val="Normal"/>
    <w:next w:val="Normal"/>
    <w:qFormat/>
    <w:rsid w:val="00AE57E1"/>
    <w:pPr>
      <w:widowControl/>
    </w:pPr>
    <w:rPr>
      <w:sz w:val="16"/>
      <w:lang w:eastAsia="en-AU" w:bidi="ar-SA"/>
    </w:rPr>
  </w:style>
  <w:style w:type="paragraph" w:customStyle="1" w:styleId="FSCoStandardEnd">
    <w:name w:val="FSC_o_Standard_End"/>
    <w:basedOn w:val="FSCtMain"/>
    <w:qFormat/>
    <w:rsid w:val="00AE57E1"/>
    <w:pPr>
      <w:jc w:val="center"/>
    </w:pPr>
    <w:rPr>
      <w:iCs w:val="0"/>
    </w:rPr>
  </w:style>
  <w:style w:type="paragraph" w:customStyle="1" w:styleId="FSCoTitleofInstrument">
    <w:name w:val="FSC_o_Title_of_Instrument"/>
    <w:basedOn w:val="Normal"/>
    <w:rsid w:val="00AE57E1"/>
    <w:pPr>
      <w:widowControl/>
      <w:spacing w:before="200"/>
    </w:pPr>
    <w:rPr>
      <w:b/>
      <w:sz w:val="32"/>
      <w:lang w:eastAsia="en-AU" w:bidi="ar-SA"/>
    </w:rPr>
  </w:style>
  <w:style w:type="paragraph" w:customStyle="1" w:styleId="FSCoutChap">
    <w:name w:val="FSC_out_Chap"/>
    <w:aliases w:val="n_outline_chapter"/>
    <w:basedOn w:val="FSCh4Div"/>
    <w:qFormat/>
    <w:rsid w:val="00AE57E1"/>
    <w:pPr>
      <w:tabs>
        <w:tab w:val="left" w:pos="1701"/>
      </w:tabs>
      <w:spacing w:after="120"/>
      <w:ind w:left="3402" w:hanging="3402"/>
    </w:pPr>
  </w:style>
  <w:style w:type="paragraph" w:customStyle="1" w:styleId="FSCoutPart">
    <w:name w:val="FSC_out_Part"/>
    <w:aliases w:val="n_outline_part"/>
    <w:basedOn w:val="FSCh5Section"/>
    <w:qFormat/>
    <w:rsid w:val="00AE57E1"/>
    <w:pPr>
      <w:keepNext w:val="0"/>
      <w:tabs>
        <w:tab w:val="left" w:pos="1701"/>
      </w:tabs>
      <w:ind w:left="3402" w:hanging="3402"/>
    </w:pPr>
  </w:style>
  <w:style w:type="paragraph" w:customStyle="1" w:styleId="FSCoutStand">
    <w:name w:val="FSC_out_Stand"/>
    <w:aliases w:val="n_outline_standard"/>
    <w:basedOn w:val="FSCtMain"/>
    <w:qFormat/>
    <w:rsid w:val="00AE57E1"/>
    <w:pPr>
      <w:tabs>
        <w:tab w:val="clear" w:pos="1134"/>
        <w:tab w:val="left" w:pos="1701"/>
      </w:tabs>
      <w:ind w:left="3402" w:hanging="3402"/>
    </w:pPr>
  </w:style>
  <w:style w:type="paragraph" w:customStyle="1" w:styleId="FSCpreContents">
    <w:name w:val="FSC_pre_Contents"/>
    <w:aliases w:val="tt_Contents"/>
    <w:basedOn w:val="FSCh2Part"/>
    <w:rsid w:val="00AE57E1"/>
    <w:pPr>
      <w:ind w:left="0" w:firstLine="0"/>
      <w:jc w:val="center"/>
    </w:pPr>
    <w:rPr>
      <w:sz w:val="28"/>
    </w:rPr>
  </w:style>
  <w:style w:type="paragraph" w:customStyle="1" w:styleId="FSCpreDate">
    <w:name w:val="FSC_pre_Date"/>
    <w:aliases w:val="tt_Date_of_Standard"/>
    <w:basedOn w:val="Normal"/>
    <w:rsid w:val="00AE57E1"/>
    <w:pPr>
      <w:widowControl/>
    </w:pPr>
    <w:rPr>
      <w:rFonts w:cs="Arial"/>
      <w:i/>
      <w:sz w:val="20"/>
      <w:szCs w:val="28"/>
      <w:lang w:val="en-US" w:eastAsia="en-AU" w:bidi="ar-SA"/>
    </w:rPr>
  </w:style>
  <w:style w:type="paragraph" w:customStyle="1" w:styleId="FSCsbFirstSection">
    <w:name w:val="FSC_sb_First_Section"/>
    <w:basedOn w:val="Normal"/>
    <w:qFormat/>
    <w:rsid w:val="00AE57E1"/>
    <w:pPr>
      <w:widowControl/>
      <w:spacing w:line="160" w:lineRule="exact"/>
    </w:pPr>
    <w:rPr>
      <w:sz w:val="16"/>
      <w:lang w:eastAsia="en-AU" w:bidi="ar-SA"/>
    </w:rPr>
  </w:style>
  <w:style w:type="paragraph" w:customStyle="1" w:styleId="FSCsbContents">
    <w:name w:val="FSC_sb_Contents"/>
    <w:basedOn w:val="FSCsbFirstSection"/>
    <w:qFormat/>
    <w:rsid w:val="00AE57E1"/>
  </w:style>
  <w:style w:type="paragraph" w:customStyle="1" w:styleId="FSCsbMainSection">
    <w:name w:val="FSC_sb_Main_Section"/>
    <w:basedOn w:val="FSCsbFirstSection"/>
    <w:qFormat/>
    <w:rsid w:val="00AE57E1"/>
    <w:rPr>
      <w:b/>
      <w:bCs/>
      <w:kern w:val="32"/>
    </w:rPr>
  </w:style>
  <w:style w:type="paragraph" w:customStyle="1" w:styleId="FSCsbSchedules">
    <w:name w:val="FSC_sb_Schedules"/>
    <w:basedOn w:val="FSCsbFirstSection"/>
    <w:qFormat/>
    <w:rsid w:val="00AE57E1"/>
  </w:style>
  <w:style w:type="paragraph" w:customStyle="1" w:styleId="FSCtAmendingwords">
    <w:name w:val="FSC_t_Amending_words"/>
    <w:basedOn w:val="FSCbasepara"/>
    <w:qFormat/>
    <w:rsid w:val="00AE57E1"/>
    <w:pPr>
      <w:ind w:firstLine="0"/>
    </w:pPr>
    <w:rPr>
      <w:i/>
    </w:rPr>
  </w:style>
  <w:style w:type="paragraph" w:customStyle="1" w:styleId="FSCtDefn">
    <w:name w:val="FSC_t_Defn"/>
    <w:aliases w:val="t1_Defn"/>
    <w:basedOn w:val="FSCtMain"/>
    <w:rsid w:val="00AE57E1"/>
    <w:pPr>
      <w:ind w:firstLine="0"/>
    </w:pPr>
  </w:style>
  <w:style w:type="paragraph" w:customStyle="1" w:styleId="FSCtblAh2">
    <w:name w:val="FSC_tbl_A_h2"/>
    <w:aliases w:val="tbA_h2"/>
    <w:basedOn w:val="Normal"/>
    <w:next w:val="Normal"/>
    <w:rsid w:val="00AE57E1"/>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AE57E1"/>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AE57E1"/>
    <w:pPr>
      <w:pBdr>
        <w:top w:val="single" w:sz="4" w:space="1" w:color="auto"/>
      </w:pBdr>
      <w:spacing w:before="140"/>
    </w:pPr>
    <w:rPr>
      <w:bCs/>
      <w:i w:val="0"/>
    </w:rPr>
  </w:style>
  <w:style w:type="paragraph" w:customStyle="1" w:styleId="FSCtblAh4">
    <w:name w:val="FSC_tbl_A_h4"/>
    <w:aliases w:val="tbA_h4"/>
    <w:basedOn w:val="Normal"/>
    <w:next w:val="Normal"/>
    <w:rsid w:val="00AE57E1"/>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AE57E1"/>
    <w:pPr>
      <w:widowControl w:val="0"/>
      <w:pBdr>
        <w:bottom w:val="single" w:sz="4" w:space="1" w:color="auto"/>
      </w:pBdr>
      <w:jc w:val="center"/>
    </w:pPr>
    <w:rPr>
      <w:iCs/>
    </w:rPr>
  </w:style>
  <w:style w:type="paragraph" w:customStyle="1" w:styleId="FSCtblAMain">
    <w:name w:val="FSC_tbl_A_Main"/>
    <w:aliases w:val="tbA_t1_Item"/>
    <w:basedOn w:val="FSCbasetbl"/>
    <w:qFormat/>
    <w:rsid w:val="00AE57E1"/>
    <w:rPr>
      <w:iCs w:val="0"/>
    </w:rPr>
  </w:style>
  <w:style w:type="paragraph" w:customStyle="1" w:styleId="FSCtblAMainMRA">
    <w:name w:val="FSC_tbl_A_Main_MRA"/>
    <w:aliases w:val="tbA_t1_item_MRA"/>
    <w:basedOn w:val="FSCtblAMain"/>
    <w:rsid w:val="00AE57E1"/>
    <w:pPr>
      <w:tabs>
        <w:tab w:val="right" w:pos="3969"/>
      </w:tabs>
      <w:spacing w:before="0" w:after="0"/>
    </w:pPr>
    <w:rPr>
      <w:szCs w:val="20"/>
    </w:rPr>
  </w:style>
  <w:style w:type="paragraph" w:customStyle="1" w:styleId="FSCtblAPara">
    <w:name w:val="FSC_tbl_A_Para"/>
    <w:aliases w:val="tbA_t2_Para"/>
    <w:basedOn w:val="FSCtblAMain"/>
    <w:rsid w:val="00AE57E1"/>
    <w:pPr>
      <w:ind w:left="397" w:hanging="397"/>
    </w:pPr>
  </w:style>
  <w:style w:type="paragraph" w:customStyle="1" w:styleId="FSCtblASubpara">
    <w:name w:val="FSC_tbl_A_Subpara"/>
    <w:aliases w:val="tbA_t2_Subpara"/>
    <w:basedOn w:val="FSCtblAMain"/>
    <w:rsid w:val="00AE57E1"/>
    <w:pPr>
      <w:ind w:left="794" w:hanging="397"/>
    </w:pPr>
  </w:style>
  <w:style w:type="paragraph" w:customStyle="1" w:styleId="FSCtblBh2">
    <w:name w:val="FSC_tbl_B_h2"/>
    <w:aliases w:val="tbB_h2"/>
    <w:basedOn w:val="FSCtblAh2"/>
    <w:qFormat/>
    <w:rsid w:val="00AE57E1"/>
    <w:pPr>
      <w:spacing w:before="240" w:after="120"/>
    </w:pPr>
    <w:rPr>
      <w:color w:val="000000"/>
    </w:rPr>
  </w:style>
  <w:style w:type="paragraph" w:customStyle="1" w:styleId="FSCtblBh3">
    <w:name w:val="FSC_tbl_B_h3"/>
    <w:aliases w:val="tbB_h3"/>
    <w:basedOn w:val="FSCtblAMain"/>
    <w:next w:val="Normal"/>
    <w:qFormat/>
    <w:rsid w:val="00AE57E1"/>
    <w:pPr>
      <w:ind w:left="1701"/>
    </w:pPr>
    <w:rPr>
      <w:b/>
      <w:i/>
    </w:rPr>
  </w:style>
  <w:style w:type="paragraph" w:customStyle="1" w:styleId="FSCtblBh4">
    <w:name w:val="FSC_tbl_B_h4"/>
    <w:aliases w:val="tbB_h4"/>
    <w:basedOn w:val="FSCtblAMain"/>
    <w:next w:val="Normal"/>
    <w:qFormat/>
    <w:rsid w:val="00AE57E1"/>
    <w:pPr>
      <w:ind w:left="1701"/>
    </w:pPr>
    <w:rPr>
      <w:i/>
    </w:rPr>
  </w:style>
  <w:style w:type="paragraph" w:customStyle="1" w:styleId="FSCtblBMain">
    <w:name w:val="FSC_tbl_B_Main"/>
    <w:aliases w:val="tbB_t1_Item"/>
    <w:basedOn w:val="FSCtblAMain"/>
    <w:qFormat/>
    <w:rsid w:val="00AE57E1"/>
    <w:pPr>
      <w:ind w:left="1701"/>
    </w:pPr>
  </w:style>
  <w:style w:type="paragraph" w:customStyle="1" w:styleId="h5StandardEnd">
    <w:name w:val="h5_Standard_End"/>
    <w:basedOn w:val="FSCtMain"/>
    <w:rsid w:val="00AE57E1"/>
    <w:pPr>
      <w:tabs>
        <w:tab w:val="clear" w:pos="1134"/>
        <w:tab w:val="right" w:pos="851"/>
      </w:tabs>
      <w:spacing w:before="240" w:after="0"/>
      <w:ind w:left="0" w:firstLine="0"/>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rsid w:val="005F534F"/>
    <w:rPr>
      <w:rFonts w:ascii="Arial" w:hAnsi="Arial"/>
      <w:lang w:eastAsia="en-US" w:bidi="en-US"/>
    </w:rPr>
  </w:style>
  <w:style w:type="character" w:customStyle="1" w:styleId="FooterChar">
    <w:name w:val="Footer Char"/>
    <w:basedOn w:val="DefaultParagraphFont"/>
    <w:link w:val="Footer"/>
    <w:uiPriority w:val="99"/>
    <w:rsid w:val="003D43F8"/>
    <w:rPr>
      <w:rFonts w:ascii="Arial" w:hAnsi="Arial"/>
      <w:szCs w:val="24"/>
      <w:lang w:eastAsia="en-US" w:bidi="en-US"/>
    </w:rPr>
  </w:style>
  <w:style w:type="paragraph" w:styleId="ListParagraph">
    <w:name w:val="List Paragraph"/>
    <w:basedOn w:val="Normal"/>
    <w:uiPriority w:val="34"/>
    <w:qFormat/>
    <w:rsid w:val="003D43F8"/>
    <w:pPr>
      <w:ind w:left="720"/>
      <w:contextualSpacing/>
    </w:pPr>
  </w:style>
  <w:style w:type="character" w:customStyle="1" w:styleId="ClauseChar">
    <w:name w:val="Clause Char"/>
    <w:basedOn w:val="DefaultParagraphFont"/>
    <w:link w:val="Clause"/>
    <w:rsid w:val="00F15BD6"/>
    <w:rPr>
      <w:rFonts w:ascii="Arial" w:hAnsi="Arial"/>
      <w:lang w:eastAsia="en-US" w:bidi="en-US"/>
    </w:rPr>
  </w:style>
  <w:style w:type="paragraph" w:styleId="Title">
    <w:name w:val="Title"/>
    <w:basedOn w:val="Normal"/>
    <w:link w:val="TitleChar"/>
    <w:uiPriority w:val="10"/>
    <w:qFormat/>
    <w:rsid w:val="00F15BD6"/>
    <w:pPr>
      <w:tabs>
        <w:tab w:val="left" w:pos="851"/>
      </w:tabs>
      <w:jc w:val="center"/>
    </w:pPr>
    <w:rPr>
      <w:b/>
      <w:bCs/>
      <w:sz w:val="20"/>
      <w:lang w:val="en-AU" w:bidi="ar-SA"/>
    </w:rPr>
  </w:style>
  <w:style w:type="character" w:customStyle="1" w:styleId="TitleChar">
    <w:name w:val="Title Char"/>
    <w:basedOn w:val="DefaultParagraphFont"/>
    <w:link w:val="Title"/>
    <w:uiPriority w:val="10"/>
    <w:rsid w:val="00F15BD6"/>
    <w:rPr>
      <w:rFonts w:ascii="Arial" w:hAnsi="Arial"/>
      <w:b/>
      <w:bCs/>
      <w:szCs w:val="24"/>
      <w:lang w:val="en-AU" w:eastAsia="en-US"/>
    </w:rPr>
  </w:style>
  <w:style w:type="character" w:customStyle="1" w:styleId="TitleBorderChar">
    <w:name w:val="TitleBorder Char"/>
    <w:link w:val="TitleBorder"/>
    <w:rsid w:val="00F15BD6"/>
    <w:rPr>
      <w:rFonts w:ascii="Arial" w:hAnsi="Arial"/>
      <w:b/>
      <w:sz w:val="22"/>
      <w:lang w:eastAsia="en-US" w:bidi="en-US"/>
    </w:rPr>
  </w:style>
  <w:style w:type="character" w:customStyle="1" w:styleId="SubclauseChar">
    <w:name w:val="Subclause Char"/>
    <w:basedOn w:val="DefaultParagraphFont"/>
    <w:link w:val="Subclause"/>
    <w:rsid w:val="00F15BD6"/>
    <w:rPr>
      <w:rFonts w:ascii="Arial" w:hAnsi="Arial"/>
      <w:lang w:eastAsia="en-US" w:bidi="en-US"/>
    </w:rPr>
  </w:style>
  <w:style w:type="paragraph" w:customStyle="1" w:styleId="Default">
    <w:name w:val="Default"/>
    <w:rsid w:val="00CF4051"/>
    <w:pPr>
      <w:autoSpaceDE w:val="0"/>
      <w:autoSpaceDN w:val="0"/>
      <w:adjustRightInd w:val="0"/>
    </w:pPr>
    <w:rPr>
      <w:rFonts w:ascii="Arial" w:eastAsiaTheme="minorHAnsi" w:hAnsi="Arial" w:cs="Arial"/>
      <w:color w:val="000000"/>
      <w:sz w:val="24"/>
      <w:szCs w:val="24"/>
      <w:lang w:eastAsia="en-US"/>
    </w:rPr>
  </w:style>
  <w:style w:type="paragraph" w:customStyle="1" w:styleId="ttCrest">
    <w:name w:val="tt_Crest"/>
    <w:basedOn w:val="Normal"/>
    <w:rsid w:val="00483140"/>
    <w:pPr>
      <w:widowControl/>
      <w:spacing w:before="60" w:after="80"/>
    </w:pPr>
    <w:rPr>
      <w:sz w:val="24"/>
      <w:lang w:val="en-AU" w:eastAsia="en-AU" w:bidi="ar-SA"/>
    </w:rPr>
  </w:style>
  <w:style w:type="paragraph" w:customStyle="1" w:styleId="FSCpreActref">
    <w:name w:val="FSC_pre_Act_ref"/>
    <w:aliases w:val="tt_Authorising_Act"/>
    <w:basedOn w:val="Normal"/>
    <w:rsid w:val="00AE57E1"/>
    <w:pPr>
      <w:widowControl/>
      <w:spacing w:before="480"/>
    </w:pPr>
    <w:rPr>
      <w:rFonts w:cs="Arial"/>
      <w:i/>
      <w:sz w:val="28"/>
      <w:szCs w:val="28"/>
      <w:lang w:eastAsia="en-AU" w:bidi="ar-SA"/>
    </w:rPr>
  </w:style>
  <w:style w:type="paragraph" w:customStyle="1" w:styleId="FSCpreTitle">
    <w:name w:val="FSC_pre_Title"/>
    <w:aliases w:val="tt_Title_of_Instrument"/>
    <w:basedOn w:val="Normal"/>
    <w:rsid w:val="00AE57E1"/>
    <w:pPr>
      <w:widowControl/>
      <w:spacing w:before="1200"/>
    </w:pPr>
    <w:rPr>
      <w:b/>
      <w:sz w:val="32"/>
      <w:lang w:eastAsia="en-AU" w:bidi="ar-SA"/>
    </w:rPr>
  </w:style>
  <w:style w:type="paragraph" w:customStyle="1" w:styleId="HR">
    <w:name w:val="HR"/>
    <w:aliases w:val="Regulation Heading"/>
    <w:basedOn w:val="Normal"/>
    <w:next w:val="R1"/>
    <w:rsid w:val="00483140"/>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83140"/>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483140"/>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483140"/>
    <w:pPr>
      <w:keepNext/>
      <w:keepLines/>
      <w:widowControl/>
      <w:spacing w:before="480"/>
      <w:ind w:left="2410" w:hanging="2410"/>
    </w:pPr>
    <w:rPr>
      <w:b/>
      <w:sz w:val="32"/>
      <w:lang w:val="en-AU" w:eastAsia="en-AU" w:bidi="ar-SA"/>
    </w:rPr>
  </w:style>
  <w:style w:type="paragraph" w:customStyle="1" w:styleId="FSCh3Standard">
    <w:name w:val="FSC_h3_Standard"/>
    <w:aliases w:val="h3_Div,h1_Sch"/>
    <w:basedOn w:val="FSCbaseheading"/>
    <w:next w:val="Normal"/>
    <w:qFormat/>
    <w:rsid w:val="00AE57E1"/>
    <w:pPr>
      <w:spacing w:before="0" w:after="240"/>
      <w:outlineLvl w:val="2"/>
    </w:pPr>
    <w:rPr>
      <w:sz w:val="32"/>
    </w:rPr>
  </w:style>
  <w:style w:type="paragraph" w:customStyle="1" w:styleId="FSCnatHeading">
    <w:name w:val="FSC_n_at_Heading"/>
    <w:aliases w:val="n_to_Heading"/>
    <w:basedOn w:val="FSCtMain"/>
    <w:qFormat/>
    <w:rsid w:val="00AE57E1"/>
    <w:pPr>
      <w:ind w:left="851" w:hanging="851"/>
    </w:pPr>
    <w:rPr>
      <w:sz w:val="16"/>
    </w:rPr>
  </w:style>
  <w:style w:type="paragraph" w:styleId="EndnoteText">
    <w:name w:val="endnote text"/>
    <w:basedOn w:val="Normal"/>
    <w:link w:val="EndnoteTextChar"/>
    <w:rsid w:val="00B81481"/>
    <w:rPr>
      <w:sz w:val="20"/>
      <w:szCs w:val="20"/>
    </w:rPr>
  </w:style>
  <w:style w:type="character" w:customStyle="1" w:styleId="EndnoteTextChar">
    <w:name w:val="Endnote Text Char"/>
    <w:basedOn w:val="DefaultParagraphFont"/>
    <w:link w:val="EndnoteText"/>
    <w:rsid w:val="00B81481"/>
    <w:rPr>
      <w:rFonts w:ascii="Arial" w:hAnsi="Arial"/>
      <w:lang w:eastAsia="en-US" w:bidi="en-US"/>
    </w:rPr>
  </w:style>
  <w:style w:type="character" w:styleId="EndnoteReference">
    <w:name w:val="endnote reference"/>
    <w:basedOn w:val="DefaultParagraphFont"/>
    <w:rsid w:val="00B81481"/>
    <w:rPr>
      <w:vertAlign w:val="superscript"/>
    </w:rPr>
  </w:style>
  <w:style w:type="paragraph" w:customStyle="1" w:styleId="FSCbaseheading">
    <w:name w:val="FSC_base_heading"/>
    <w:rsid w:val="00AE57E1"/>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AE57E1"/>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AE57E1"/>
    <w:pPr>
      <w:spacing w:before="60" w:after="60"/>
      <w:ind w:left="0" w:firstLine="0"/>
    </w:pPr>
    <w:rPr>
      <w:sz w:val="18"/>
    </w:rPr>
  </w:style>
  <w:style w:type="paragraph" w:customStyle="1" w:styleId="FSCbaseTOC">
    <w:name w:val="FSC_base_TOC"/>
    <w:rsid w:val="00AE57E1"/>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AE57E1"/>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AE57E1"/>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AE57E1"/>
    <w:pPr>
      <w:spacing w:before="480"/>
      <w:outlineLvl w:val="0"/>
    </w:pPr>
    <w:rPr>
      <w:bCs w:val="0"/>
      <w:sz w:val="40"/>
    </w:rPr>
  </w:style>
  <w:style w:type="paragraph" w:customStyle="1" w:styleId="FSCh2Part">
    <w:name w:val="FSC_h2_Part"/>
    <w:aliases w:val="h2_Part"/>
    <w:basedOn w:val="FSCbaseheading"/>
    <w:next w:val="Normal"/>
    <w:qFormat/>
    <w:rsid w:val="00AE57E1"/>
    <w:pPr>
      <w:outlineLvl w:val="1"/>
    </w:pPr>
    <w:rPr>
      <w:bCs w:val="0"/>
      <w:sz w:val="36"/>
      <w:szCs w:val="22"/>
    </w:rPr>
  </w:style>
  <w:style w:type="paragraph" w:customStyle="1" w:styleId="FSCh3Contents">
    <w:name w:val="FSC_h3_Contents"/>
    <w:aliases w:val="h2_Contents_Intro"/>
    <w:basedOn w:val="FSCh3Standard"/>
    <w:rsid w:val="00AE57E1"/>
    <w:pPr>
      <w:ind w:left="0" w:firstLine="0"/>
      <w:jc w:val="center"/>
    </w:pPr>
  </w:style>
  <w:style w:type="paragraph" w:customStyle="1" w:styleId="FSCh4Div">
    <w:name w:val="FSC_h4_Div"/>
    <w:aliases w:val="h4_Subdiv"/>
    <w:basedOn w:val="FSCbaseheading"/>
    <w:next w:val="Normal"/>
    <w:qFormat/>
    <w:rsid w:val="00AE57E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AE57E1"/>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AE57E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AE57E1"/>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AE57E1"/>
    <w:pPr>
      <w:keepLines w:val="0"/>
      <w:widowControl w:val="0"/>
      <w:spacing w:before="120" w:after="60"/>
      <w:ind w:left="1701" w:firstLine="0"/>
    </w:pPr>
    <w:rPr>
      <w:b w:val="0"/>
      <w:i/>
      <w:sz w:val="20"/>
    </w:rPr>
  </w:style>
  <w:style w:type="paragraph" w:customStyle="1" w:styleId="FSCtMain">
    <w:name w:val="FSC_t_Main"/>
    <w:aliases w:val="t1_Main"/>
    <w:basedOn w:val="FSCbasepara"/>
    <w:rsid w:val="00AE57E1"/>
    <w:pPr>
      <w:keepLines w:val="0"/>
      <w:widowControl w:val="0"/>
      <w:tabs>
        <w:tab w:val="left" w:pos="1134"/>
      </w:tabs>
      <w:spacing w:after="120"/>
    </w:pPr>
  </w:style>
  <w:style w:type="paragraph" w:customStyle="1" w:styleId="FSCtPara">
    <w:name w:val="FSC_t_Para"/>
    <w:aliases w:val="t2_Para"/>
    <w:basedOn w:val="FSCtMain"/>
    <w:qFormat/>
    <w:rsid w:val="00AE57E1"/>
    <w:pPr>
      <w:tabs>
        <w:tab w:val="clear" w:pos="1134"/>
        <w:tab w:val="left" w:pos="1701"/>
      </w:tabs>
      <w:spacing w:before="60" w:after="60"/>
      <w:ind w:left="2268" w:hanging="2268"/>
    </w:pPr>
  </w:style>
  <w:style w:type="paragraph" w:customStyle="1" w:styleId="FSCnMain">
    <w:name w:val="FSC_n_Main"/>
    <w:aliases w:val="n_Main"/>
    <w:basedOn w:val="FSCtPara"/>
    <w:qFormat/>
    <w:rsid w:val="00AE57E1"/>
    <w:rPr>
      <w:iCs w:val="0"/>
      <w:sz w:val="16"/>
      <w:szCs w:val="18"/>
    </w:rPr>
  </w:style>
  <w:style w:type="paragraph" w:customStyle="1" w:styleId="FSCtSubpara">
    <w:name w:val="FSC_t_Subpara"/>
    <w:aliases w:val="t3_Subpara"/>
    <w:basedOn w:val="FSCtMain"/>
    <w:qFormat/>
    <w:rsid w:val="00AE57E1"/>
    <w:pPr>
      <w:tabs>
        <w:tab w:val="clear" w:pos="1134"/>
        <w:tab w:val="left" w:pos="2268"/>
      </w:tabs>
      <w:spacing w:before="60" w:after="60"/>
      <w:ind w:left="2835" w:hanging="2835"/>
    </w:pPr>
  </w:style>
  <w:style w:type="paragraph" w:customStyle="1" w:styleId="FSCnPara">
    <w:name w:val="FSC_n_Para"/>
    <w:aliases w:val="n_Para"/>
    <w:basedOn w:val="FSCtSubpara"/>
    <w:qFormat/>
    <w:rsid w:val="00AE57E1"/>
    <w:rPr>
      <w:sz w:val="16"/>
    </w:rPr>
  </w:style>
  <w:style w:type="paragraph" w:customStyle="1" w:styleId="FSCtSubsub">
    <w:name w:val="FSC_t_Subsub"/>
    <w:aliases w:val="t4_Subsub"/>
    <w:basedOn w:val="FSCtPara"/>
    <w:qFormat/>
    <w:rsid w:val="00AE57E1"/>
    <w:pPr>
      <w:tabs>
        <w:tab w:val="clear" w:pos="1701"/>
        <w:tab w:val="left" w:pos="2835"/>
      </w:tabs>
      <w:ind w:left="3402" w:hanging="3402"/>
    </w:pPr>
  </w:style>
  <w:style w:type="paragraph" w:customStyle="1" w:styleId="FSCnSubpara">
    <w:name w:val="FSC_n_Subpara"/>
    <w:aliases w:val="n_Subpara"/>
    <w:basedOn w:val="FSCtSubsub"/>
    <w:qFormat/>
    <w:rsid w:val="00AE57E1"/>
    <w:rPr>
      <w:sz w:val="16"/>
    </w:rPr>
  </w:style>
  <w:style w:type="paragraph" w:customStyle="1" w:styleId="FSCnSubsub">
    <w:name w:val="FSC_n_Subsub"/>
    <w:aliases w:val="n_Subsubpara"/>
    <w:basedOn w:val="FSCnSubpara"/>
    <w:qFormat/>
    <w:rsid w:val="00AE57E1"/>
    <w:pPr>
      <w:tabs>
        <w:tab w:val="clear" w:pos="2835"/>
        <w:tab w:val="left" w:pos="3402"/>
      </w:tabs>
      <w:ind w:left="3969" w:hanging="3969"/>
    </w:pPr>
  </w:style>
  <w:style w:type="paragraph" w:customStyle="1" w:styleId="FSCoContents">
    <w:name w:val="FSC_o_Contents"/>
    <w:basedOn w:val="FSCh2Part"/>
    <w:rsid w:val="00AE57E1"/>
    <w:pPr>
      <w:ind w:left="0" w:firstLine="0"/>
      <w:jc w:val="center"/>
    </w:pPr>
  </w:style>
  <w:style w:type="paragraph" w:customStyle="1" w:styleId="FSCoDraftstrip">
    <w:name w:val="FSC_o_Draft_strip"/>
    <w:basedOn w:val="Normal"/>
    <w:rsid w:val="00AE57E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AE57E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AE57E1"/>
    <w:pPr>
      <w:widowControl/>
      <w:spacing w:before="80"/>
    </w:pPr>
    <w:rPr>
      <w:color w:val="7030A0"/>
      <w:lang w:eastAsia="en-AU" w:bidi="ar-SA"/>
    </w:rPr>
  </w:style>
  <w:style w:type="paragraph" w:customStyle="1" w:styleId="FSCoFooter">
    <w:name w:val="FSC_o_Footer"/>
    <w:basedOn w:val="Normal"/>
    <w:rsid w:val="00AE57E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AE57E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AE57E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AE57E1"/>
    <w:rPr>
      <w:rFonts w:ascii="Arial" w:hAnsi="Arial"/>
      <w:b/>
      <w:noProof/>
      <w:szCs w:val="24"/>
      <w:lang w:eastAsia="en-AU"/>
    </w:rPr>
  </w:style>
  <w:style w:type="paragraph" w:customStyle="1" w:styleId="FSCoParaMark">
    <w:name w:val="FSC_o_Para_Mark"/>
    <w:basedOn w:val="Normal"/>
    <w:next w:val="Normal"/>
    <w:qFormat/>
    <w:rsid w:val="00AE57E1"/>
    <w:pPr>
      <w:widowControl/>
    </w:pPr>
    <w:rPr>
      <w:sz w:val="16"/>
      <w:lang w:eastAsia="en-AU" w:bidi="ar-SA"/>
    </w:rPr>
  </w:style>
  <w:style w:type="paragraph" w:customStyle="1" w:styleId="FSCoStandardEnd">
    <w:name w:val="FSC_o_Standard_End"/>
    <w:basedOn w:val="FSCtMain"/>
    <w:qFormat/>
    <w:rsid w:val="00AE57E1"/>
    <w:pPr>
      <w:jc w:val="center"/>
    </w:pPr>
    <w:rPr>
      <w:iCs w:val="0"/>
    </w:rPr>
  </w:style>
  <w:style w:type="paragraph" w:customStyle="1" w:styleId="FSCoTitleofInstrument">
    <w:name w:val="FSC_o_Title_of_Instrument"/>
    <w:basedOn w:val="Normal"/>
    <w:rsid w:val="00AE57E1"/>
    <w:pPr>
      <w:widowControl/>
      <w:spacing w:before="200"/>
    </w:pPr>
    <w:rPr>
      <w:b/>
      <w:sz w:val="32"/>
      <w:lang w:eastAsia="en-AU" w:bidi="ar-SA"/>
    </w:rPr>
  </w:style>
  <w:style w:type="paragraph" w:customStyle="1" w:styleId="FSCoutChap">
    <w:name w:val="FSC_out_Chap"/>
    <w:aliases w:val="n_outline_chapter"/>
    <w:basedOn w:val="FSCh4Div"/>
    <w:qFormat/>
    <w:rsid w:val="00AE57E1"/>
    <w:pPr>
      <w:tabs>
        <w:tab w:val="left" w:pos="1701"/>
      </w:tabs>
      <w:spacing w:after="120"/>
      <w:ind w:left="3402" w:hanging="3402"/>
    </w:pPr>
  </w:style>
  <w:style w:type="paragraph" w:customStyle="1" w:styleId="FSCoutPart">
    <w:name w:val="FSC_out_Part"/>
    <w:aliases w:val="n_outline_part"/>
    <w:basedOn w:val="FSCh5Section"/>
    <w:qFormat/>
    <w:rsid w:val="00AE57E1"/>
    <w:pPr>
      <w:keepNext w:val="0"/>
      <w:tabs>
        <w:tab w:val="left" w:pos="1701"/>
      </w:tabs>
      <w:ind w:left="3402" w:hanging="3402"/>
    </w:pPr>
  </w:style>
  <w:style w:type="paragraph" w:customStyle="1" w:styleId="FSCoutStand">
    <w:name w:val="FSC_out_Stand"/>
    <w:aliases w:val="n_outline_standard"/>
    <w:basedOn w:val="FSCtMain"/>
    <w:qFormat/>
    <w:rsid w:val="00AE57E1"/>
    <w:pPr>
      <w:tabs>
        <w:tab w:val="clear" w:pos="1134"/>
        <w:tab w:val="left" w:pos="1701"/>
      </w:tabs>
      <w:ind w:left="3402" w:hanging="3402"/>
    </w:pPr>
  </w:style>
  <w:style w:type="paragraph" w:customStyle="1" w:styleId="FSCpreContents">
    <w:name w:val="FSC_pre_Contents"/>
    <w:aliases w:val="tt_Contents"/>
    <w:basedOn w:val="FSCh2Part"/>
    <w:rsid w:val="00AE57E1"/>
    <w:pPr>
      <w:ind w:left="0" w:firstLine="0"/>
      <w:jc w:val="center"/>
    </w:pPr>
    <w:rPr>
      <w:sz w:val="28"/>
    </w:rPr>
  </w:style>
  <w:style w:type="paragraph" w:customStyle="1" w:styleId="FSCpreDate">
    <w:name w:val="FSC_pre_Date"/>
    <w:aliases w:val="tt_Date_of_Standard"/>
    <w:basedOn w:val="Normal"/>
    <w:rsid w:val="00AE57E1"/>
    <w:pPr>
      <w:widowControl/>
    </w:pPr>
    <w:rPr>
      <w:rFonts w:cs="Arial"/>
      <w:i/>
      <w:sz w:val="20"/>
      <w:szCs w:val="28"/>
      <w:lang w:val="en-US" w:eastAsia="en-AU" w:bidi="ar-SA"/>
    </w:rPr>
  </w:style>
  <w:style w:type="paragraph" w:customStyle="1" w:styleId="FSCsbFirstSection">
    <w:name w:val="FSC_sb_First_Section"/>
    <w:basedOn w:val="Normal"/>
    <w:qFormat/>
    <w:rsid w:val="00AE57E1"/>
    <w:pPr>
      <w:widowControl/>
      <w:spacing w:line="160" w:lineRule="exact"/>
    </w:pPr>
    <w:rPr>
      <w:sz w:val="16"/>
      <w:lang w:eastAsia="en-AU" w:bidi="ar-SA"/>
    </w:rPr>
  </w:style>
  <w:style w:type="paragraph" w:customStyle="1" w:styleId="FSCsbContents">
    <w:name w:val="FSC_sb_Contents"/>
    <w:basedOn w:val="FSCsbFirstSection"/>
    <w:qFormat/>
    <w:rsid w:val="00AE57E1"/>
  </w:style>
  <w:style w:type="paragraph" w:customStyle="1" w:styleId="FSCsbMainSection">
    <w:name w:val="FSC_sb_Main_Section"/>
    <w:basedOn w:val="FSCsbFirstSection"/>
    <w:qFormat/>
    <w:rsid w:val="00AE57E1"/>
    <w:rPr>
      <w:b/>
      <w:bCs/>
      <w:kern w:val="32"/>
    </w:rPr>
  </w:style>
  <w:style w:type="paragraph" w:customStyle="1" w:styleId="FSCsbSchedules">
    <w:name w:val="FSC_sb_Schedules"/>
    <w:basedOn w:val="FSCsbFirstSection"/>
    <w:qFormat/>
    <w:rsid w:val="00AE57E1"/>
  </w:style>
  <w:style w:type="paragraph" w:customStyle="1" w:styleId="FSCtAmendingwords">
    <w:name w:val="FSC_t_Amending_words"/>
    <w:basedOn w:val="FSCbasepara"/>
    <w:qFormat/>
    <w:rsid w:val="00AE57E1"/>
    <w:pPr>
      <w:ind w:firstLine="0"/>
    </w:pPr>
    <w:rPr>
      <w:i/>
    </w:rPr>
  </w:style>
  <w:style w:type="paragraph" w:customStyle="1" w:styleId="FSCtDefn">
    <w:name w:val="FSC_t_Defn"/>
    <w:aliases w:val="t1_Defn"/>
    <w:basedOn w:val="FSCtMain"/>
    <w:rsid w:val="00AE57E1"/>
    <w:pPr>
      <w:ind w:firstLine="0"/>
    </w:pPr>
  </w:style>
  <w:style w:type="paragraph" w:customStyle="1" w:styleId="FSCtblAh2">
    <w:name w:val="FSC_tbl_A_h2"/>
    <w:aliases w:val="tbA_h2"/>
    <w:basedOn w:val="Normal"/>
    <w:next w:val="Normal"/>
    <w:rsid w:val="00AE57E1"/>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AE57E1"/>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AE57E1"/>
    <w:pPr>
      <w:pBdr>
        <w:top w:val="single" w:sz="4" w:space="1" w:color="auto"/>
      </w:pBdr>
      <w:spacing w:before="140"/>
    </w:pPr>
    <w:rPr>
      <w:bCs/>
      <w:i w:val="0"/>
    </w:rPr>
  </w:style>
  <w:style w:type="paragraph" w:customStyle="1" w:styleId="FSCtblAh4">
    <w:name w:val="FSC_tbl_A_h4"/>
    <w:aliases w:val="tbA_h4"/>
    <w:basedOn w:val="Normal"/>
    <w:next w:val="Normal"/>
    <w:rsid w:val="00AE57E1"/>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AE57E1"/>
    <w:pPr>
      <w:widowControl w:val="0"/>
      <w:pBdr>
        <w:bottom w:val="single" w:sz="4" w:space="1" w:color="auto"/>
      </w:pBdr>
      <w:jc w:val="center"/>
    </w:pPr>
    <w:rPr>
      <w:iCs/>
    </w:rPr>
  </w:style>
  <w:style w:type="paragraph" w:customStyle="1" w:styleId="FSCtblAMain">
    <w:name w:val="FSC_tbl_A_Main"/>
    <w:aliases w:val="tbA_t1_Item"/>
    <w:basedOn w:val="FSCbasetbl"/>
    <w:qFormat/>
    <w:rsid w:val="00AE57E1"/>
    <w:rPr>
      <w:iCs w:val="0"/>
    </w:rPr>
  </w:style>
  <w:style w:type="paragraph" w:customStyle="1" w:styleId="FSCtblAMainMRA">
    <w:name w:val="FSC_tbl_A_Main_MRA"/>
    <w:aliases w:val="tbA_t1_item_MRA"/>
    <w:basedOn w:val="FSCtblAMain"/>
    <w:rsid w:val="00AE57E1"/>
    <w:pPr>
      <w:tabs>
        <w:tab w:val="right" w:pos="3969"/>
      </w:tabs>
      <w:spacing w:before="0" w:after="0"/>
    </w:pPr>
    <w:rPr>
      <w:szCs w:val="20"/>
    </w:rPr>
  </w:style>
  <w:style w:type="paragraph" w:customStyle="1" w:styleId="FSCtblAPara">
    <w:name w:val="FSC_tbl_A_Para"/>
    <w:aliases w:val="tbA_t2_Para"/>
    <w:basedOn w:val="FSCtblAMain"/>
    <w:rsid w:val="00AE57E1"/>
    <w:pPr>
      <w:ind w:left="397" w:hanging="397"/>
    </w:pPr>
  </w:style>
  <w:style w:type="paragraph" w:customStyle="1" w:styleId="FSCtblASubpara">
    <w:name w:val="FSC_tbl_A_Subpara"/>
    <w:aliases w:val="tbA_t2_Subpara"/>
    <w:basedOn w:val="FSCtblAMain"/>
    <w:rsid w:val="00AE57E1"/>
    <w:pPr>
      <w:ind w:left="794" w:hanging="397"/>
    </w:pPr>
  </w:style>
  <w:style w:type="paragraph" w:customStyle="1" w:styleId="FSCtblBh2">
    <w:name w:val="FSC_tbl_B_h2"/>
    <w:aliases w:val="tbB_h2"/>
    <w:basedOn w:val="FSCtblAh2"/>
    <w:qFormat/>
    <w:rsid w:val="00AE57E1"/>
    <w:pPr>
      <w:spacing w:before="240" w:after="120"/>
    </w:pPr>
    <w:rPr>
      <w:color w:val="000000"/>
    </w:rPr>
  </w:style>
  <w:style w:type="paragraph" w:customStyle="1" w:styleId="FSCtblBh3">
    <w:name w:val="FSC_tbl_B_h3"/>
    <w:aliases w:val="tbB_h3"/>
    <w:basedOn w:val="FSCtblAMain"/>
    <w:next w:val="Normal"/>
    <w:qFormat/>
    <w:rsid w:val="00AE57E1"/>
    <w:pPr>
      <w:ind w:left="1701"/>
    </w:pPr>
    <w:rPr>
      <w:b/>
      <w:i/>
    </w:rPr>
  </w:style>
  <w:style w:type="paragraph" w:customStyle="1" w:styleId="FSCtblBh4">
    <w:name w:val="FSC_tbl_B_h4"/>
    <w:aliases w:val="tbB_h4"/>
    <w:basedOn w:val="FSCtblAMain"/>
    <w:next w:val="Normal"/>
    <w:qFormat/>
    <w:rsid w:val="00AE57E1"/>
    <w:pPr>
      <w:ind w:left="1701"/>
    </w:pPr>
    <w:rPr>
      <w:i/>
    </w:rPr>
  </w:style>
  <w:style w:type="paragraph" w:customStyle="1" w:styleId="FSCtblBMain">
    <w:name w:val="FSC_tbl_B_Main"/>
    <w:aliases w:val="tbB_t1_Item"/>
    <w:basedOn w:val="FSCtblAMain"/>
    <w:qFormat/>
    <w:rsid w:val="00AE57E1"/>
    <w:pPr>
      <w:ind w:left="1701"/>
    </w:pPr>
  </w:style>
  <w:style w:type="paragraph" w:customStyle="1" w:styleId="h5StandardEnd">
    <w:name w:val="h5_Standard_End"/>
    <w:basedOn w:val="FSCtMain"/>
    <w:rsid w:val="00AE57E1"/>
    <w:pPr>
      <w:tabs>
        <w:tab w:val="clear" w:pos="1134"/>
        <w:tab w:val="right" w:pos="851"/>
      </w:tabs>
      <w:spacing w:before="240" w:after="0"/>
      <w:ind w:left="0" w:firstLine="0"/>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1101-DietaryFibreClaimProvisions.aspx" TargetMode="External"/><Relationship Id="rId2" Type="http://schemas.openxmlformats.org/officeDocument/2006/relationships/hyperlink" Target="http://www.foodstandards.gov.au/industry/labelling/Pages/Qualifying-criteria-for-nutrition-content-claims-about-dietary-fibre.aspx" TargetMode="External"/><Relationship Id="rId1" Type="http://schemas.openxmlformats.org/officeDocument/2006/relationships/hyperlink" Target="http://www.foodstandards.gov.au/code/proposals/Pages/proposalp293nutritionhealthandrelatedclaims/Default.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proposals/pages/proposalp293nutritionhealthandrelatedclaims/p293review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12144-4D0D-4618-82B4-6995FE88BA8A}"/>
</file>

<file path=customXml/itemProps2.xml><?xml version="1.0" encoding="utf-8"?>
<ds:datastoreItem xmlns:ds="http://schemas.openxmlformats.org/officeDocument/2006/customXml" ds:itemID="{A5160AAA-2B68-44D2-A927-0C6DFDA81512}"/>
</file>

<file path=customXml/itemProps3.xml><?xml version="1.0" encoding="utf-8"?>
<ds:datastoreItem xmlns:ds="http://schemas.openxmlformats.org/officeDocument/2006/customXml" ds:itemID="{843F48B4-6AC7-4A30-9D45-33CEF943FC7D}"/>
</file>

<file path=customXml/itemProps4.xml><?xml version="1.0" encoding="utf-8"?>
<ds:datastoreItem xmlns:ds="http://schemas.openxmlformats.org/officeDocument/2006/customXml" ds:itemID="{1F58799D-4B84-4CAC-B6F7-265F36267A99}"/>
</file>

<file path=docProps/app.xml><?xml version="1.0" encoding="utf-8"?>
<Properties xmlns="http://schemas.openxmlformats.org/officeDocument/2006/extended-properties" xmlns:vt="http://schemas.openxmlformats.org/officeDocument/2006/docPropsVTypes">
  <Template>Normal.dotm</Template>
  <TotalTime>14</TotalTime>
  <Pages>36</Pages>
  <Words>11320</Words>
  <Characters>63814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74985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Diane Bourn</dc:creator>
  <cp:lastModifiedBy>humphc</cp:lastModifiedBy>
  <cp:revision>6</cp:revision>
  <cp:lastPrinted>2015-03-20T01:45:00Z</cp:lastPrinted>
  <dcterms:created xsi:type="dcterms:W3CDTF">2015-03-19T22:43:00Z</dcterms:created>
  <dcterms:modified xsi:type="dcterms:W3CDTF">2015-03-20T01:45:00Z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